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EnergieStG — Steuerbefreiung für gasförmige Energieerzeugnisse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Zur Stromerzeugung in ortsfesten Anlagen dürfen steuerfrei verwendet werden:</w:t>
      </w:r>
    </w:p>
    <w:p>
      <w:pPr>
        <w:ind w:left="420"/>
      </w:pPr>
      <w:r>
        <w:t xml:space="preserve">1. gasförmige Biokraft- und Bioheizstoffe, unvermischt mit anderen Energieerzeugnissen,</w:t>
      </w:r>
    </w:p>
    <w:p>
      <w:pPr>
        <w:ind w:left="420"/>
      </w:pPr>
      <w:r>
        <w:t xml:space="preserve">2. gasförmige Kohlenwasserstoffe, die aus dem biologisch abbaubaren Anteil von Abfällen gewonnen werden und bei der Lagerung von Abfällen oder bei der Abwasserreinigung anfallen, oder</w:t>
      </w:r>
    </w:p>
    <w:p>
      <w:pPr>
        <w:ind w:left="420"/>
      </w:pPr>
      <w:r>
        <w:t xml:space="preserve">3. Energieerzeugnisse der Position 2705 der Kombinierten Nomenklatur,</w:t>
      </w:r>
    </w:p>
    <w:p>
      <w:r>
        <w:t xml:space="preserve">soweit der erzeugte Strom nicht nach § 9 Absatz 1 Nummer 4, 5 oder 6 des Stromsteuergesetzes von der Stromsteuer befreit ist.</w:t>
      </w:r>
    </w:p>
    <w:p>
      <w:r>
        <w:t xml:space="preserve">(2) Energieerzeugnisse der Position 2705 der Kombinierten Nomenklatur dürfen steuerfrei zum Verheizen verwendet werden.</w:t>
      </w:r>
    </w:p>
    <w:p>
      <w:r>
        <w:t xml:space="preserve">(3) Ein Mischen mit anderen Energieerzeugnissen im Betrieb des Verwenders unmittelbar vor der Verwendung schließt für den eingesetzten Anteil an Energieerzeugnissen nach den Absätzen 1 und 2 eine Steuerbefreiung nicht aus. Absatz 1 Nummer 3 und Absatz 2 gelten nicht für Energieerzeugnisse der Position 2705 der Kombinierten Nomenklatur, soweit diese Waren der Position 2710 oder 2711 der Kombinierten Nomenklatur, die nicht nach Satz 1 steuerfrei sind, durch Beimischung enthalten oder aus diesen Waren erzeugt worden sind.</w:t>
      </w:r>
    </w:p>
    <w:p>
      <w:r>
        <w:t xml:space="preserve">(4) Die Steuerbefreiung nach Absatz 2 wird gewährt nach Maßgabe und bis zum Auslaufen der hierfür erforderlichen Freistellungsanzeige bei der Europäischen Kommission nach der Verordnung (EU) Nr. 651/2014. Das Auslaufen der Freistellungsanzeige ist vom Bundesministerium der Finanzen im Bundesgesetzblatt Teil I gesondert bekannt zu geben.</w:t>
      </w:r>
    </w:p>
    <w:p>
      <w:r>
        <w:rPr>
          <w:color w:val="555555"/>
          <w:sz w:val="17"/>
        </w:rPr>
        <w:t xml:space="preserve">Zitiervorschlag: § 28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