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EnergieStG — Steuerbefreiung, Schiff- und Luftfahrt</w:t>
      </w:r>
    </w:p>
    <w:p>
      <w:r>
        <w:rPr>
          <w:color w:val="555555"/>
          <w:sz w:val="18"/>
        </w:rPr>
        <w:t xml:space="preserve">Energiesteuergesetz</w:t>
      </w:r>
    </w:p>
    <w:p>
      <w:r>
        <w:rPr>
          <w:color w:val="555555"/>
          <w:sz w:val="18"/>
        </w:rPr>
        <w:t xml:space="preserve">Stand: 01.01.2026 (konsolidierte Textfassung, kein amtliches Inkrafttretensdatum)</w:t>
      </w:r>
    </w:p>
    <w:p>
      <w:r>
        <w:t xml:space="preserve">(1) Energieerzeugnisse der Unterpositionen 2707 99 99, 2710 19 43 bis 2710 19 99, 2710 20 11 bis 2710 20 39, andere Schweröle der Unterposition 2710 20 90 sowie Energieerzeugnisse der Unterpositionen 2711 19 00, 2804 10 00, 2814 10 00, 2905 11 00, 3826 00 10 und 3826 00 90 der Kombinierten Nomenklatur dürfen steuerfrei verwendet werden in Wasserfahrzeugen</w:t>
      </w:r>
    </w:p>
    <w:p>
      <w:pPr>
        <w:ind w:left="420"/>
      </w:pPr>
      <w:r>
        <w:t xml:space="preserve">1. für die Schifffahrt mit Ausnahme der privaten nichtgewerblichen Schifffahrt,</w:t>
      </w:r>
    </w:p>
    <w:p>
      <w:pPr>
        <w:ind w:left="420"/>
      </w:pPr>
      <w:r>
        <w:t xml:space="preserve">2. bei der Instandhaltung von Wasserfahrzeugen nach Nummer 1 und</w:t>
      </w:r>
    </w:p>
    <w:p>
      <w:pPr>
        <w:ind w:left="420"/>
      </w:pPr>
      <w:r>
        <w:t xml:space="preserve">3. bei der Herstellung von Wasserfahrzeugen.</w:t>
      </w:r>
    </w:p>
    <w:p>
      <w:r>
        <w:t xml:space="preserve">Dies gilt für Energieerzeugnisse der Unterpositionen 2710 19 43 bis 2710 19 48 und der Unterpositionen 2710 20 11 bis 2710 20 19 der Kombinierten Nomenklatur nur, wenn sie ordnungsgemäß gekennzeichnet sind.</w:t>
      </w:r>
    </w:p>
    <w:p>
      <w:r>
        <w:t xml:space="preserve">(2) Flugbenzin der Unterposition 2710 12 31 der Kombinierten Nomenklatur, dessen Researchoktanzahl den Wert von 100 nicht unterschreitet, und Flugturbinenkraftstoff der Unterposition 2710 19 21 der Kombinierten Nomenklatur dürfen steuerfrei verwendet werden in Luftfahrzeugen</w:t>
      </w:r>
    </w:p>
    <w:p>
      <w:pPr>
        <w:ind w:left="420"/>
      </w:pPr>
      <w:r>
        <w:t xml:space="preserve">1. für die Luftfahrt mit Ausnahme der privaten nichtgewerblichen Luftfahrt,</w:t>
      </w:r>
    </w:p>
    <w:p>
      <w:pPr>
        <w:ind w:left="420"/>
      </w:pPr>
      <w:r>
        <w:t xml:space="preserve">2. bei der Instandhaltung von Luftfahrzeugen nach Nummer 1 sowie</w:t>
      </w:r>
    </w:p>
    <w:p>
      <w:pPr>
        <w:ind w:left="420"/>
      </w:pPr>
      <w:r>
        <w:t xml:space="preserve">3. bei der Entwicklung und Herstellung von Luftfahrzeugen.</w:t>
      </w:r>
    </w:p>
    <w:p>
      <w:r>
        <w:t xml:space="preserve">(3) Die in Absatz 2 genannten Energieerzeugnisse dürfen steuerfrei verwendet werden in für Luftfahrzeuge bestimmten Triebwerken und Motoren bei deren Entwicklung und Herstellung.</w:t>
      </w:r>
    </w:p>
    <w:p>
      <w:r>
        <w:rPr>
          <w:color w:val="555555"/>
          <w:sz w:val="17"/>
        </w:rPr>
        <w:t xml:space="preserve">Zitiervorschlag: § 27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