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EnergieStG — Steuerbefreiung für den Eigenverbrauch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eines Betriebs, der andere Energieerzeugnisse als Kohle und Erdgas herstellt, darf Energieerzeugnisse innerhalb des Betriebsgeländes steuerfrei verwenden, wenn sie</w:t>
      </w:r>
    </w:p>
    <w:p>
      <w:pPr>
        <w:ind w:left="420"/>
      </w:pPr>
      <w:r>
        <w:t xml:space="preserve">1. innerhalb des Betriebsgeländes selbst hergestellt worden sind und</w:t>
      </w:r>
    </w:p>
    <w:p>
      <w:pPr>
        <w:ind w:left="420"/>
      </w:pPr>
      <w:r>
        <w:t xml:space="preserve">2. im Zusammenhang mit der Herstellung von Energieerzeugnissen verwendet werden; sie dürfen insbesondere nicht für den Antrieb von Fahrzeugen verwendet werden.</w:t>
      </w:r>
    </w:p>
    <w:p>
      <w:r>
        <w:t xml:space="preserve">(2) § 1 Absatz 3 Satz 2 ist nicht anzuwenden.</w:t>
      </w:r>
    </w:p>
    <w:p>
      <w:r>
        <w:t xml:space="preserve">(3) Das Mischen von fremdbezogenen Energieerzeugnissen mit innerhalb des Betriebsgeländes selbst hergestellten Energieerzeugnissen gilt nicht als Herstellung im Sinn des Absatzes 1 Nummer 2 erster Halbsatz.</w:t>
      </w:r>
    </w:p>
    <w:p>
      <w:r>
        <w:t xml:space="preserve">(4) Absatz 1 gilt nicht für die in § 6 Absatz 2 genannten Vorgänge, es sei denn, diese Vorgänge finden in einem Herstellungsbetrieb (§ 6) oder in einem Gasgewinnungsbetrieb (§ 44 Absatz 3) statt.</w:t>
      </w:r>
    </w:p>
    <w:p>
      <w:r>
        <w:rPr>
          <w:color w:val="555555"/>
          <w:sz w:val="17"/>
        </w:rPr>
        <w:t xml:space="preserve">Zitiervorschlag: § 26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