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EnergieStG — Steuerbefreiung für Verwendungen zu anderen Zwecken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24.02.2023 (konsolidierte Textfassung, kein amtliches Inkrafttretensdatum)</w:t>
      </w:r>
    </w:p>
    <w:p>
      <w:r>
        <w:t xml:space="preserve">(1) Energieerzeugnisse im Sinn des § 4 dürfen steuerfrei verwendet werden zu anderen Zwecken als</w:t>
      </w:r>
    </w:p>
    <w:p>
      <w:pPr>
        <w:ind w:left="420"/>
      </w:pPr>
      <w:r>
        <w:t xml:space="preserve">1. zur Verwendung als Kraft- oder Heizstoff,</w:t>
      </w:r>
    </w:p>
    <w:p>
      <w:pPr>
        <w:ind w:left="420"/>
      </w:pPr>
      <w:r>
        <w:t xml:space="preserve">2. zur Herstellung von in § 4 genannten Kraft- oder Heizstoffen.</w:t>
      </w:r>
    </w:p>
    <w:p>
      <w:r>
        <w:t xml:space="preserve">Eine steuerfreie Verwendung ist ausgeschlossen, wenn in der Verwendung eine Herstellung nach § 6 liegt. Satz 2 gilt nicht, wenn zur Herstellung eines Energieerzeugnisses im Sinn des § 4 Waren der Unterpositionen 2710 12 21, 2710 12 25, 2710 19 29 und mittelschwere Öle der Unterposition 2710 20 90 der Kombinierten Nomenklatur eingesetzt werden und diese im Sinn des § 4 Nr. 3 nicht unter Steueraussetzung befördert werden können.</w:t>
      </w:r>
    </w:p>
    <w:p>
      <w:r>
        <w:t xml:space="preserve">(2) Energieerzeugnisse dürfen steuerfrei verwendet werden als Probe zu Untersuchungszwecken.</w:t>
      </w:r>
    </w:p>
    <w:p>
      <w:r>
        <w:rPr>
          <w:color w:val="555555"/>
          <w:sz w:val="17"/>
        </w:rPr>
        <w:t xml:space="preserve">Zitiervorschlag: § 25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