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EnergieStG — Begriffsbestimmungen, Erlaubnis</w:t>
      </w:r>
    </w:p>
    <w:p>
      <w:r>
        <w:rPr>
          <w:color w:val="555555"/>
          <w:sz w:val="18"/>
        </w:rPr>
        <w:t xml:space="preserve">Energiesteuergesetz</w:t>
      </w:r>
    </w:p>
    <w:p>
      <w:r>
        <w:rPr>
          <w:color w:val="555555"/>
          <w:sz w:val="18"/>
        </w:rPr>
        <w:t xml:space="preserve">Stand: 01.01.2026 (konsolidierte Textfassung, kein amtliches Inkrafttretensdatum)</w:t>
      </w:r>
    </w:p>
    <w:p>
      <w:r>
        <w:t xml:space="preserve">(1) Verfahren der Steuerbefreiung sind die steuerfreie Verwendung und die steuerfreie Verteilung. Energieerzeugnisse, die nach den §§ 25 und 27 bis 29 steuerfrei verwendet werden dürfen, können zu diesen Zwecken steuerfrei abgegeben werden.</w:t>
      </w:r>
    </w:p>
    <w:p>
      <w:r>
        <w:t xml:space="preserve">(2) Wer Energieerzeugnisse steuerfrei in den Fällen der §§ 25 bis 29 verwenden will, bedarf der Erlaubnis als Verwender. Wer Energieerzeugnisse steuerfrei in den Fällen der §§ 25 und 27 bis 29 abgeben will, bedarf vorbehaltlich Absatz 3 der Erlaubnis als Verteiler.</w:t>
      </w:r>
    </w:p>
    <w:p>
      <w:r>
        <w:t xml:space="preserve">(3) Einer Erlaubnis als Verteiler bedarf nicht der Inhaber eines Steuerlagers, soweit er Energieerzeugnisse aus dem Steuerlager zu steuerfreien Zwecken abgibt. In diesem Fall befinden sich die Energieerzeugnisse mit der Entfernung aus dem Steuerlager im Verfahren der Steuerbefreiung des Empfängers.</w:t>
      </w:r>
    </w:p>
    <w:p>
      <w:r>
        <w:t xml:space="preserve">(4) Inhabern einer Erlaubnis nach Absatz 2 kann auch die Ausfuhr und das Verbringen von Energieerzeugnissen aus dem Steuergebiet erlaubt werden, sofern Steuerbelange nicht beeinträchtigt sind.</w:t>
      </w:r>
    </w:p>
    <w:p>
      <w:r>
        <w:t xml:space="preserve">(5) Die Erlaubnis nach den Absätzen 2 und 4 wird auf Antrag unter Widerrufsvorbehalt Personen erteilt, gegen deren steuerliche Zuverlässigkeit keine Bedenken bestehen. Sind Anzeichen für eine Gefährdung der Steuer erkennbar, ist die Erlaubnis von einer Sicherheit bis zur Höhe des Steuerwerts der voraussichtlich im Jahresdurchschnitt während zwei Monaten verwendeten oder verteilten Energieerzeugnisse abhängig. Die Erlaubnis ist zu widerrufen, wenn die Voraussetzung nach Satz 1 nicht mehr erfüllt ist oder eine angeforderte Sicherheit nicht geleistet wird. Die Erlaubnis kann widerrufen werden, wenn eine geleistete Sicherheit nicht mehr ausreicht.</w:t>
      </w:r>
    </w:p>
    <w:p>
      <w:r>
        <w:t xml:space="preserve">(6) Der Erlaubnisinhaber hat die Energieerzeugnisse, soweit er sie in seinem Betrieb verwenden will, unverzüglich aufzunehmen. Die Energieerzeugnisse dürfen nur zu dem in der Erlaubnis genannten Zweck verwendet oder abgegeben werden.</w:t>
      </w:r>
    </w:p>
    <w:p>
      <w:r>
        <w:rPr>
          <w:color w:val="555555"/>
          <w:sz w:val="17"/>
        </w:rPr>
        <w:t xml:space="preserve">Zitiervorschlag: § 24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