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19b EnergieStG — Steuerentstehung, Steuerschuldner bei der Einfuhr</w:t>
      </w:r>
    </w:p>
    <w:p>
      <w:r>
        <w:rPr>
          <w:color w:val="555555"/>
          <w:sz w:val="18"/>
        </w:rPr>
        <w:t xml:space="preserve">Energiesteuergesetz</w:t>
      </w:r>
    </w:p>
    <w:p>
      <w:r>
        <w:rPr>
          <w:color w:val="555555"/>
          <w:sz w:val="18"/>
        </w:rPr>
        <w:t xml:space="preserve">Stand: 13.02.2023 (konsolidierte Textfassung, kein amtliches Inkrafttretensdatum)</w:t>
      </w:r>
    </w:p>
    <w:p>
      <w:r>
        <w:t xml:space="preserve">(1) Die Steuer entsteht zum Zeitpunkt der Überführung der Energieerzeugnisse im Sinn des § 4 in den steuerrechtlich freien Verkehr vorbehaltlich des Satzes 2 durch die Einfuhr oder durch den unrechtmäßigen Eingang. Die Steuer entsteht nicht, wenn</w:t>
      </w:r>
    </w:p>
    <w:p>
      <w:pPr>
        <w:ind w:left="420"/>
      </w:pPr>
      <w:r>
        <w:t xml:space="preserve">1. Energieerzeugnisse unmittelbar am Ort der Einfuhr in ein Verfahren der Steueraussetzung (§ 5) überführt werden,</w:t>
      </w:r>
    </w:p>
    <w:p>
      <w:pPr>
        <w:ind w:left="420"/>
      </w:pPr>
      <w:r>
        <w:t xml:space="preserve">2. Energieerzeugnisse in ein Verfahren der Steuerbefreiung (§ 24 Absatz 1) überführt werden oder</w:t>
      </w:r>
    </w:p>
    <w:p>
      <w:pPr>
        <w:ind w:left="420"/>
      </w:pPr>
      <w:r>
        <w:t xml:space="preserve">3. die Einfuhrzollschuld nach Artikel 124 Absatz 1 Buchstabe e, f, g oder Buchstabe k des Unionszollkodex erlischt.</w:t>
      </w:r>
    </w:p>
    <w:p>
      <w:r>
        <w:t xml:space="preserve">(2) Steuerschuldner ist</w:t>
      </w:r>
    </w:p>
    <w:p>
      <w:pPr>
        <w:ind w:left="420"/>
      </w:pPr>
      <w:r>
        <w:t xml:space="preserve">1. jede Person nach Artikel 77 Absatz 3 des Unionszollkodex,</w:t>
      </w:r>
    </w:p>
    <w:p>
      <w:pPr>
        <w:ind w:left="420"/>
      </w:pPr>
      <w:r>
        <w:t xml:space="preserve">2. jede andere Person, die an einem unrechtmäßigen Eingang beteiligt war.</w:t>
      </w:r>
    </w:p>
    <w:p>
      <w:r>
        <w:t xml:space="preserve">Mehrere Steuerschuldner sind Gesamtschuldner.</w:t>
      </w:r>
    </w:p>
    <w:p>
      <w:r>
        <w:t xml:space="preserve">(3) Die Zollvorschriften gelten sinngemäß für</w:t>
      </w:r>
    </w:p>
    <w:p>
      <w:pPr>
        <w:ind w:left="420"/>
      </w:pPr>
      <w:r>
        <w:t xml:space="preserve">1. die Fälligkeit,</w:t>
      </w:r>
    </w:p>
    <w:p>
      <w:pPr>
        <w:ind w:left="420"/>
      </w:pPr>
      <w:r>
        <w:t xml:space="preserve">2. den Zahlungsaufschub,</w:t>
      </w:r>
    </w:p>
    <w:p>
      <w:pPr>
        <w:ind w:left="420"/>
      </w:pPr>
      <w:r>
        <w:t xml:space="preserve">3. das Erlöschen in anderen Fällen als denen des Absatzes 1 Satz 2 Nummer 3,</w:t>
      </w:r>
    </w:p>
    <w:p>
      <w:pPr>
        <w:ind w:left="420"/>
      </w:pPr>
      <w:r>
        <w:t xml:space="preserve">4. die Nacherhebung,</w:t>
      </w:r>
    </w:p>
    <w:p>
      <w:pPr>
        <w:ind w:left="420"/>
      </w:pPr>
      <w:r>
        <w:t xml:space="preserve">5. den Erlass,</w:t>
      </w:r>
    </w:p>
    <w:p>
      <w:pPr>
        <w:ind w:left="420"/>
      </w:pPr>
      <w:r>
        <w:t xml:space="preserve">6. die Erstattung in anderen Fällen als nach den Artikeln 119 und 120 des Unionszollkodex und</w:t>
      </w:r>
    </w:p>
    <w:p>
      <w:pPr>
        <w:ind w:left="420"/>
      </w:pPr>
      <w:r>
        <w:t xml:space="preserve">7. das Steuerverfahren.</w:t>
      </w:r>
    </w:p>
    <w:p>
      <w:r>
        <w:t xml:space="preserve">Abweichend von Satz 1 bleiben die §§ 163 und 227 der Abgabenordnung unberührt.</w:t>
      </w:r>
    </w:p>
    <w:p>
      <w:r>
        <w:t xml:space="preserve">(4) Für Energieerzeugnisse, die in der Truppenverwendung zweckwidrig verwendet werden, finden abweichend von den Absätzen 1 bis 3 die Vorschriften des Truppenzollgesetzes Anwendung.</w:t>
      </w:r>
    </w:p>
    <w:p>
      <w:r>
        <w:t xml:space="preserve">(5) Für den Eingang von Energieerzeugnissen aus einem der in Artikel 4 Absatz 2 der Systemrichtlinie aufgeführten Gebiete in das Steuergebiet sind die in den zollrechtlichen Vorschriften der Union vorgesehenen Formalitäten für den Eingang von Waren in das Zollgebiet der Union entsprechend anzuwenden.</w:t>
      </w:r>
    </w:p>
    <w:p>
      <w:r>
        <w:t xml:space="preserve">(6) Für den unrechtmäßigen Eingang gilt Artikel 87 des Unionszollkodex sinngemäß.</w:t>
      </w:r>
    </w:p>
    <w:p>
      <w:r>
        <w:rPr>
          <w:color w:val="555555"/>
          <w:sz w:val="17"/>
        </w:rPr>
        <w:t xml:space="preserve">Zitiervorschlag: § 19b EnergieStG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https://recht.nulegal.eu/gesetze/EnergieStG/19b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