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EnergieStG — Verbringen zu privaten Zwecken</w:t>
      </w:r>
    </w:p>
    <w:p>
      <w:r>
        <w:rPr>
          <w:color w:val="555555"/>
          <w:sz w:val="18"/>
        </w:rPr>
        <w:t xml:space="preserve">Energiesteuergesetz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Energieerzeugnisse im Sinn des § 4, die eine Privatperson für ihren Eigenbedarf in einem anderen Mitgliedstaat im steuerrechtlich freien Verkehr erwirbt und selbst in das Steuergebiet befördert, sind steuerfrei. Die Steuerfreiheit ist jedoch ausgeschlossen für</w:t>
      </w:r>
    </w:p>
    <w:p>
      <w:pPr>
        <w:ind w:left="420"/>
      </w:pPr>
      <w:r>
        <w:t xml:space="preserve">1. flüssige Heizstoffe, ausgenommen Flüssiggase in Flaschen, und</w:t>
      </w:r>
    </w:p>
    <w:p>
      <w:pPr>
        <w:ind w:left="420"/>
      </w:pPr>
      <w:r>
        <w:t xml:space="preserve">2. Kraftstoffe, die in anderen Behältnissen als dem Hauptbehälter des Fahrzeugs befördert werden, ausgenommen in Reservebehältern des Fahrzeugs bis zu einer Gesamtmenge von 20 Litern.</w:t>
      </w:r>
    </w:p>
    <w:p>
      <w:r>
        <w:t xml:space="preserve">(2) Die Steuer für Energieerzeugnisse, die nach Absatz 1 Satz 2 nicht steuerfrei sind oder die auf Rechnung der Privatperson befördert werden, entsteht mit dem Verbringen in das Steuergebiet. Steuerschuldner ist die Privatperson.</w:t>
      </w:r>
    </w:p>
    <w:p>
      <w:r>
        <w:t xml:space="preserve">(3) Für Energieerzeugnisse, für die die Steuer entstanden ist, hat der Steuerschuldner unverzüglich eine Steuererklärung abzugeben und darin die Steuer selbst zu berechnen (Steueranmeldung). Die Steuer ist sofort fällig.</w:t>
      </w:r>
    </w:p>
    <w:p>
      <w:r>
        <w:rPr>
          <w:color w:val="555555"/>
          <w:sz w:val="17"/>
        </w:rPr>
        <w:t xml:space="preserve">Zitiervorschlag: § 16 EnergieStG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