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15b EnergieStG — Zertifizierte Versender</w:t>
      </w:r>
    </w:p>
    <w:p>
      <w:r>
        <w:rPr>
          <w:color w:val="555555"/>
          <w:sz w:val="18"/>
        </w:rPr>
        <w:t xml:space="preserve">Energiesteuergesetz</w:t>
      </w:r>
    </w:p>
    <w:p>
      <w:r>
        <w:rPr>
          <w:color w:val="555555"/>
          <w:sz w:val="18"/>
        </w:rPr>
        <w:t xml:space="preserve">Stand: 13.02.2023 (konsolidierte Textfassung, kein amtliches Inkrafttretensdatum)</w:t>
      </w:r>
    </w:p>
    <w:p>
      <w:r>
        <w:t xml:space="preserve">(1) Zertifizierte Versender sind Personen, die Energieerzeugnisse im Sinn des § 4 im steuerrechtlich freien Verkehr zu gewerblichen Zwecken aus ihrem Betrieb im Steuergebiet oder von einem anderen Ort im Steuergebiet zu einem zertifizierten Empfänger in einen anderen Mitgliedstaat</w:t>
      </w:r>
    </w:p>
    <w:p>
      <w:pPr>
        <w:ind w:left="420"/>
      </w:pPr>
      <w:r>
        <w:t xml:space="preserve">1. nicht nur gelegentlich oder</w:t>
      </w:r>
    </w:p>
    <w:p>
      <w:pPr>
        <w:ind w:left="420"/>
      </w:pPr>
      <w:r>
        <w:t xml:space="preserve">2. im Einzelfall</w:t>
      </w:r>
    </w:p>
    <w:p>
      <w:r>
        <w:t xml:space="preserve">liefern dürfen. Satz 1 gilt auch für</w:t>
      </w:r>
    </w:p>
    <w:p>
      <w:pPr>
        <w:ind w:left="420"/>
      </w:pPr>
      <w:r>
        <w:t xml:space="preserve">1. Lieferungen über einen anderen Mitgliedstaat zu einem zertifizierten Empfänger im Steuergebiet oder</w:t>
      </w:r>
    </w:p>
    <w:p>
      <w:pPr>
        <w:ind w:left="420"/>
      </w:pPr>
      <w:r>
        <w:t xml:space="preserve">2. Lieferung durch Einrichtungen des öffentlichen Rechts.</w:t>
      </w:r>
    </w:p>
    <w:p>
      <w:r>
        <w:t xml:space="preserve">(2) Wer Energieerzeugnisse im Sinn des § 4 nach Absatz 1 Satz 1 liefern will, bedarf der Erlaubnis. Die Erlaubnis wird auf Antrag unter Widerrufsvorbehalt Personen erteilt,</w:t>
      </w:r>
    </w:p>
    <w:p>
      <w:pPr>
        <w:ind w:left="420"/>
      </w:pPr>
      <w:r>
        <w:t xml:space="preserve">1. gegen deren steuerliche Zuverlässigkeit keine Bedenken bestehen und</w:t>
      </w:r>
    </w:p>
    <w:p>
      <w:pPr>
        <w:ind w:left="420"/>
      </w:pPr>
      <w:r>
        <w:t xml:space="preserve">2. die, soweit sie nach dem Handelsgesetzbuch oder der Abgabenordnung dazu verpflichtet sind, ordnungsmäßig kaufmännische Bücher führen und rechtzeitig Jahresabschlüsse aufstellen.</w:t>
      </w:r>
    </w:p>
    <w:p>
      <w:r>
        <w:t xml:space="preserve">In den Fällen des Absatzes 1 Satz 1 Nummer 2 ist die Erlaubnis zu beschränken auf</w:t>
      </w:r>
    </w:p>
    <w:p>
      <w:pPr>
        <w:ind w:left="420"/>
      </w:pPr>
      <w:r>
        <w:t xml:space="preserve">1. eine bestimmte Menge,</w:t>
      </w:r>
    </w:p>
    <w:p>
      <w:pPr>
        <w:ind w:left="420"/>
      </w:pPr>
      <w:r>
        <w:t xml:space="preserve">2. einen einzigen zertifizierten Empfänger und</w:t>
      </w:r>
    </w:p>
    <w:p>
      <w:pPr>
        <w:ind w:left="420"/>
      </w:pPr>
      <w:r>
        <w:t xml:space="preserve">3. einen bestimmten Zeitraum.</w:t>
      </w:r>
    </w:p>
    <w:p>
      <w:r>
        <w:t xml:space="preserve">Die Sätze 2 und 3 gelten nicht für die Erteilung der Erlaubnis an eine Einrichtung des öffentlichen Rechts. Unbeschadet des Absatzes 1 Satz 1 kann eine Erlaubnis nach Absatz 1 Satz 1 Nummer 2 auch Privatpersonen erteilt werden.</w:t>
      </w:r>
    </w:p>
    <w:p>
      <w:r>
        <w:t xml:space="preserve">(3) Die Erlaubnis ist zu widerrufen, wenn eine der in Absatz 2 Satz 2 genannten Voraussetzungen nicht mehr erfüllt ist.</w:t>
      </w:r>
    </w:p>
    <w:p>
      <w:r>
        <w:t xml:space="preserve">(4) Steuerlagerinhaber nach § 5 Absatz 2 und registrierte Versender nach § 9b werden nach erforderlicher Anzeige als zertifizierte Versender zugelassen.</w:t>
      </w:r>
    </w:p>
    <w:p>
      <w:r>
        <w:rPr>
          <w:color w:val="555555"/>
          <w:sz w:val="17"/>
        </w:rPr>
        <w:t xml:space="preserve">Zitiervorschlag: § 15b EnergieStG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https://recht.nulegal.eu/gesetze/EnergieStG/15b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