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EnergieStG — Beförderungen im Steuergebiet</w:t>
      </w:r>
    </w:p>
    <w:p>
      <w:r>
        <w:rPr>
          <w:color w:val="555555"/>
          <w:sz w:val="18"/>
        </w:rPr>
        <w:t xml:space="preserve">Energiesteuergesetz</w:t>
      </w:r>
    </w:p>
    <w:p>
      <w:r>
        <w:rPr>
          <w:color w:val="555555"/>
          <w:sz w:val="18"/>
        </w:rPr>
        <w:t xml:space="preserve">Stand: 10.06.2019 (konsolidierte Textfassung, kein amtliches Inkrafttretensdatum)</w:t>
      </w:r>
    </w:p>
    <w:p>
      <w:r>
        <w:t xml:space="preserve">(1) Energieerzeugnisse im Sinn des § 4 dürfen unter Steueraussetzung, auch über Drittländer oder Drittgebiete, befördert werden aus Steuerlagern im Steuergebiet oder von registrierten Versendern vom Ort der Einfuhr im Steuergebiet</w:t>
      </w:r>
    </w:p>
    <w:p>
      <w:pPr>
        <w:ind w:left="420"/>
      </w:pPr>
      <w:r>
        <w:t xml:space="preserve">1. in andere Steuerlager im Steuergebiet oder</w:t>
      </w:r>
    </w:p>
    <w:p>
      <w:pPr>
        <w:ind w:left="420"/>
      </w:pPr>
      <w:r>
        <w:t xml:space="preserve">2. zu Begünstigten (§ 9c) im Steuergebiet.</w:t>
      </w:r>
    </w:p>
    <w:p>
      <w:r>
        <w:t xml:space="preserve">(2) Wenn Steuerbelange gefährdet erscheinen, hat der Steuerlagerinhaber als Versender oder der registrierte Versender Sicherheit für die Beförderung zu leisten. Werden die Energieerzeugnisse über das Gebiet eines anderen Mitgliedstaats in ein anderes Steuerlager im Steuergebiet oder zu einem Begünstigten (§ 9c) im Steuergebiet befördert, hat der Steuerlagerinhaber als Versender oder der registrierte Versender abweichend von Satz 1 für die Beförderung unter Steueraussetzung eine in allen Mitgliedstaaten gültige Sicherheit zu leisten. Das Hauptzollamt kann in den Fällen der Sätze 1 und 2 auf Antrag zulassen, dass die Sicherheit durch den Eigentümer, den Beförderer oder den Empfänger der Energieerzeugnisse geleistet wird.</w:t>
      </w:r>
    </w:p>
    <w:p>
      <w:r>
        <w:t xml:space="preserve">(3) Die Energieerzeugnisse sind unverzüglich</w:t>
      </w:r>
    </w:p>
    <w:p>
      <w:pPr>
        <w:ind w:left="420"/>
      </w:pPr>
      <w:r>
        <w:t xml:space="preserve">1. vom Inhaber des empfangenden Steuerlagers in sein Steuerlager aufzunehmen oder</w:t>
      </w:r>
    </w:p>
    <w:p>
      <w:pPr>
        <w:ind w:left="420"/>
      </w:pPr>
      <w:r>
        <w:t xml:space="preserve">2. vom Begünstigten (§ 9c) zu übernehmen.</w:t>
      </w:r>
    </w:p>
    <w:p>
      <w:r>
        <w:t xml:space="preserve">(4) Die Beförderung unter Steueraussetzung beginnt, wenn die Energieerzeugnisse das abgebende Steuerlager verlassen oder am Ort der Einfuhr in den zollrechtlich freien Verkehr überführt worden sind. Sie endet mit der Aufnahme der Energieerzeugnisse in das empfangende Steuerlager oder mit der Übernahme der Energieerzeugnisse durch den Begünstigten (§ 9c).</w:t>
      </w:r>
    </w:p>
    <w:p>
      <w:r>
        <w:rPr>
          <w:color w:val="555555"/>
          <w:sz w:val="17"/>
        </w:rPr>
        <w:t xml:space="preserve">Zitiervorschlag: § 10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