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EndlagerVlV</w:t>
      </w:r>
    </w:p>
    <w:p>
      <w:r>
        <w:rPr>
          <w:color w:val="555555"/>
          <w:sz w:val="18"/>
        </w:rPr>
        <w:t xml:space="preserve">Endlagervorausleistungsverordnung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21b Abs. 3 in Verbindung mit § 54 des Atomgesetzes in der Fassung der Bekanntmachung vom 31. Oktober 1976 (BGBl. I S. 3053), von denen § 21b Abs. 3 durch Gesetz vom 20. August 1980 (BGBl. I S. 1556) eingefügt worden ist und § 54 durch das gleiche Gesetz geändert worden ist, verordnet die Bundesregierung mit Zustimmung des Bundesrates:</w:t>
      </w:r>
    </w:p>
    <w:p>
      <w:r>
        <w:rPr>
          <w:color w:val="555555"/>
          <w:sz w:val="17"/>
        </w:rPr>
        <w:t xml:space="preserve">Zitiervorschlag: Eingangsformel EndlagerVlV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https://recht.nulegal.eu/gesetze/EndlagerVlV/eingangsformel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