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EndlagerVlV — Erstattung der Vorausleistungen</w:t>
      </w:r>
    </w:p>
    <w:p>
      <w:r>
        <w:rPr>
          <w:color w:val="555555"/>
          <w:sz w:val="18"/>
        </w:rPr>
        <w:t xml:space="preserve">Endlagervorausleistungsverordnung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Vorausleistungen sind zu erstatten, falls die in § 2 Abs. 1 Satz 1 genannte Genehmigung nicht mehr vorliegt und keine radioaktiven Abfälle angefallen sind, die an ein Endlager abgeliefert werden müssen. Bei der Erstattung werden die Vorausleistungen mit 3 Prozent über dem Basiszinssatz nach § 247 des Bürgerlichen Gesetzbuchs verzinst.</w:t>
      </w:r>
    </w:p>
    <w:p>
      <w:r>
        <w:t xml:space="preserve">(2) Der aufgrund einer Erstattung nach Absatz 1 nicht mehr gedeckte Aufwand einschließlich der Zinsen wird von den Vorausleistungspflichtigen entsprechend § 6 Abs. 1 mit dem nächsten Vorausleistungsbescheid mit erhoben. Dabei wird der Aufwand des jeweiligen Bemessungszeitraums auf die in diesem Zeitraum verbleibenden Vorausleistungspflichtigen verteilt.</w:t>
      </w:r>
    </w:p>
    <w:p>
      <w:r>
        <w:t xml:space="preserve">(3) Im Falle des Absatzes 1 Satz 1 unterbleibt eine Erstattung, wenn durch Vereinbarung zwischen dem Erstattungsberechtigten und einem oder mehreren Vorausleistungspflichtigen die zu erstattenden Vorausleistungen mit Wirkung zum jeweiligen Zahlungszeitpunkt der Vorausleistungen übertragen worden sind; übertragene Vorausleistungen sind dabei wie eigene Vorausleistungen zu behandeln.</w:t>
      </w:r>
    </w:p>
    <w:p>
      <w:r>
        <w:rPr>
          <w:color w:val="555555"/>
          <w:sz w:val="17"/>
        </w:rPr>
        <w:t xml:space="preserve">Zitiervorschlag: § 8 EndlagerVlV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https://recht.nulegal.eu/gesetze/EndlagerVlV/8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