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EndlagerVlV — Vorausleistungsbescheid</w:t>
      </w:r>
    </w:p>
    <w:p>
      <w:r>
        <w:rPr>
          <w:color w:val="555555"/>
          <w:sz w:val="18"/>
        </w:rPr>
        <w:t xml:space="preserve">Endlagervorausleistungsverordnung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Vorausleistungen werden durch Bescheid erhoben. Gegen Verwaltungsakte nach dieser Vorschrift findet ein Vorverfahren statt. Über den Widerspruch entscheidet das Bundesministerium für Umwelt, Naturschutz und nukleare Sicherheit.</w:t>
      </w:r>
    </w:p>
    <w:p>
      <w:r>
        <w:t xml:space="preserve">(2) In der Begründung des Vorausleistungsbescheides ist auszuführen, welcher notwendige Aufwand im Falle des § 4 Abs. 3 Satz 1 Nr. 1 nach der Kostenkalkulation entstehen wird oder im Falle des § 4 Abs. 3 Satz 1 Nr. 2 im Bemessungszeitraum insgesamt entstanden ist. Der Aufwand ist auf die vorgesehenen oder durchgeführten Maßnahmen aufzuschlüsseln. Es ist anzugeben, wie sich nach § 6 der Anteil des Vorausleistungspflichtigen errechnet.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EndlagerVlV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https://recht.nulegal.eu/gesetze/EndlagerVlV/5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