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EndlagerVlV — Inkrafttreten</w:t>
      </w:r>
    </w:p>
    <w:p>
      <w:r>
        <w:rPr>
          <w:color w:val="555555"/>
          <w:sz w:val="18"/>
        </w:rPr>
        <w:t xml:space="preserve">Endlagervorausleistungsverordnung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Gleichzeitig mit dieser Verordnung tritt § 7 Abs. 2 der Kostenverordnung zum Atomgesetz vom 17. Dezember 1981 (BGBl. I S. 1457) in Kraft.</w:t>
      </w:r>
    </w:p>
    <w:p>
      <w:r>
        <w:t xml:space="preserve">(3)</w:t>
      </w:r>
    </w:p>
    <w:p>
      <w:r>
        <w:rPr>
          <w:color w:val="555555"/>
          <w:sz w:val="17"/>
        </w:rPr>
        <w:t xml:space="preserve">Zitiervorschlag: § 12 EndlagerVlV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https://recht.nulegal.eu/gesetze/EndlagerVlV/12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