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EndlagerVlV — Erhebung von Vorausleistungen</w:t>
      </w:r>
    </w:p>
    <w:p>
      <w:r>
        <w:rPr>
          <w:color w:val="555555"/>
          <w:sz w:val="18"/>
        </w:rPr>
        <w:t xml:space="preserve">Endlagervorausleistungsverordnung</w:t>
      </w:r>
    </w:p>
    <w:p>
      <w:r>
        <w:rPr>
          <w:color w:val="555555"/>
          <w:sz w:val="18"/>
        </w:rPr>
        <w:t xml:space="preserve">Stand: 12.08.2020 (konsolidierte Textfassung, kein amtliches Inkrafttretensdatum)</w:t>
      </w:r>
    </w:p>
    <w:p>
      <w:r>
        <w:t xml:space="preserve">Zur Deckung des notwendigen Aufwandes für Anlagen zur Endlagerung radioaktiver Abfälle erhebt das Bundesministerium für Umwelt, Naturschutz und nukleare Sicherheit nach dieser Verordnung Vorausleistungen auf die nach § 21b des Atomgesetzes zu entrichtenden Beiträge.</w:t>
      </w:r>
    </w:p>
    <w:p>
      <w:r>
        <w:rPr>
          <w:color w:val="555555"/>
          <w:sz w:val="17"/>
        </w:rPr>
        <w:t xml:space="preserve">Zitiervorschlag: § 1 EndlagerVlV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https://recht.nulegal.eu/gesetze/EndlagerVlV/1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