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EndlSiUntV — Langzeitsicherheitsanalyse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Die Langzeitsicherheitsanalyse muss den gesamten Bewertungszeitraum von einer Million Jahren ab dem vorgesehenen Verschluss des Endlagers umfassen und mindestens die folgenden Bereiche abdecken:</w:t>
      </w:r>
    </w:p>
    <w:p>
      <w:pPr>
        <w:ind w:left="420"/>
      </w:pPr>
      <w:r>
        <w:t xml:space="preserve">1. den sicheren Einschluss der radioaktiven Abfälle entsprechend § 4 der Endlagersicherheitsanforderungsverordnung,</w:t>
      </w:r>
    </w:p>
    <w:p>
      <w:pPr>
        <w:ind w:left="420"/>
      </w:pPr>
      <w:r>
        <w:t xml:space="preserve">2. im Fall</w:t>
      </w:r>
    </w:p>
    <w:p>
      <w:pPr>
        <w:ind w:left="780"/>
      </w:pPr>
      <w:r>
        <w:t xml:space="preserve">a) des § 4 Absatz 3 Nummer 1 der Endlagersicherheitsanforderungsverordnung die Integrität und Robustheit des einschlusswirksamen Gebirgsbereichs entsprechend § 5 der Endlagersicherheitsanforderungsverordnung sowie die Robustheit der weiteren Barrieren und sonstigen Komponenten des Endlagersystems oder</w:t>
      </w:r>
    </w:p>
    <w:p>
      <w:pPr>
        <w:ind w:left="780"/>
      </w:pPr>
      <w:r>
        <w:t xml:space="preserve">b) des § 4 Absatz 3 Nummer 2 der Endlagersicherheitsanforderungsverordnung die Integrität und Robustheit der wesentlichen technischen und geotechnischen Barrieren entsprechend § 6 der Endlagersicherheitsanforderungsverordnung sowie die Robustheit der weiteren Barrieren und sonstigen Komponenten des Endlagersystems,</w:t>
      </w:r>
    </w:p>
    <w:p>
      <w:pPr>
        <w:ind w:left="420"/>
      </w:pPr>
      <w:r>
        <w:t xml:space="preserve">3. die Abschätzung der Dosiswerte entsprechend § 7 der Endlagersicherheitsanforderungsverordnung und</w:t>
      </w:r>
    </w:p>
    <w:p>
      <w:pPr>
        <w:ind w:left="420"/>
      </w:pPr>
      <w:r>
        <w:t xml:space="preserve">4. den Ausschluss sich selbst tragender Kettenreaktionen entsprechend § 8 der Endlagersicherheitsanforderungsverordnung.</w:t>
      </w:r>
    </w:p>
    <w:p>
      <w:r>
        <w:t xml:space="preserve">Bei der Langzeitsicherheitsanalyse ist das Verhalten des Endlagersystems als Ganzes zu betrachten und entsprechend der zu erwartenden und der abweichenden Entwicklungen des Endlagersystems darzustellen.</w:t>
      </w:r>
    </w:p>
    <w:p>
      <w:r>
        <w:t xml:space="preserve">(2) Für die Analyse des Verhaltens des Endlagersystems im Bewertungszeitraum sind hinreichend qualifizierte numerische Modellierungen auf Grundlage realitätsnaher Annahmen durchzuführen.</w:t>
      </w:r>
    </w:p>
    <w:p>
      <w:r>
        <w:rPr>
          <w:color w:val="555555"/>
          <w:sz w:val="17"/>
        </w:rPr>
        <w:t xml:space="preserve">Zitiervorschlag: § 9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