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EndlSiUntV — Analyse des Endlagersystems</w:t>
      </w:r>
    </w:p>
    <w:p>
      <w:r>
        <w:rPr>
          <w:color w:val="555555"/>
          <w:sz w:val="18"/>
        </w:rPr>
        <w:t xml:space="preserve">Endlagersicherheitsuntersuchungsverordnung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Grundlage für die Analyse des geplanten Endlagersystems im Untersuchungsraum sind die Geosynthese nach § 5, das vorläufige Sicherheitskonzept nach § 6 Absatz 1 und die vorläufige Auslegung des Endlagers nach § 6 Absatz 2.</w:t>
      </w:r>
    </w:p>
    <w:p>
      <w:r>
        <w:t xml:space="preserve">(2) Die zu erwartenden und die abweichenden Entwicklungen des Endlagersystems im Bewertungszeitraum sind entsprechend § 3 Absatz 2 der Endlagersicherheitsanforderungsverordnung zu ermitteln, zu beschreiben und einzuordnen; hypothetische Entwicklungen und Entwicklungen auf der Grundlage zukünftiger menschlicher Aktivitäten sind entsprechend § 3 Absatz 5 der Endlagersicherheitsanforderungsverordnung zu beschreiben.</w:t>
      </w:r>
    </w:p>
    <w:p>
      <w:r>
        <w:t xml:space="preserve">(3) Die betriebliche Sicherheit und die Langzeitsicherheit des Endlagers sind nach den §§ 8 und 9 zu analysieren.</w:t>
      </w:r>
    </w:p>
    <w:p>
      <w:r>
        <w:t xml:space="preserve">(4) Für den Untersuchungsraum ist darzulegen, welche Relevanz die einzelnen Abwägungskriterien nach den Anlagen 1 bis 11 des Standortauswahlgesetzes für die Beurteilung des jeweiligen Endlagersystems haben. Dabei ist zu unterscheiden nach:</w:t>
      </w:r>
    </w:p>
    <w:p>
      <w:pPr>
        <w:ind w:left="420"/>
      </w:pPr>
      <w:r>
        <w:t xml:space="preserve">1. der Bedeutung des Kriteriums für die Sicherheitsfunktionen des vorgesehenen Endlagersystems und seiner Komponenten,</w:t>
      </w:r>
    </w:p>
    <w:p>
      <w:pPr>
        <w:ind w:left="420"/>
      </w:pPr>
      <w:r>
        <w:t xml:space="preserve">2. der aktuellen Kenntnis der lokalen Sachverhalte zum jeweiligen Abwägungskriterium und</w:t>
      </w:r>
    </w:p>
    <w:p>
      <w:pPr>
        <w:ind w:left="420"/>
      </w:pPr>
      <w:r>
        <w:t xml:space="preserve">3. dem Potenzial für den Erkenntnisgewinn zum jeweiligen Kriterium aufgrund künftiger Erkundungstätigkeiten.</w:t>
      </w:r>
    </w:p>
    <w:p>
      <w:r>
        <w:t xml:space="preserve">(5) Es ist auch zu beurteilen, inwiefern die zusätzliche Endlagerung größerer Mengen schwach- und mittelradioaktiver Abfälle unter Berücksichtigung der Anforderungen nach § 21 der Endlagersicherheitsanforderungsverordnung im gleichen Untersuchungsraum möglich ist. Indikator kann insbesondere ein ausreichendes Volumen der im Untersuchungsraum vorkommenden potenziellen Wirtsgesteine sein.</w:t>
      </w:r>
    </w:p>
    <w:p>
      <w:r>
        <w:t xml:space="preserve">(6) Für die repräsentativen vorläufigen Sicherheitsuntersuchungen nach § 14 Absatz 1 des Standortauswahlgesetzes ist abweichend von den Absätzen 1 bis 3 und 5 folgendes Vorgehen zu wählen:</w:t>
      </w:r>
    </w:p>
    <w:p>
      <w:pPr>
        <w:ind w:left="420"/>
      </w:pPr>
      <w:r>
        <w:t xml:space="preserve">1. auf Basis der geowissenschaftlichen Langzeitprognose sind geogene Einwirkungen und Prozesse zu identifizieren und zu bewerten sowie daraus zu erwartende und abweichende Entwicklungen abzuleiten;</w:t>
      </w:r>
    </w:p>
    <w:p>
      <w:pPr>
        <w:ind w:left="420"/>
      </w:pPr>
      <w:r>
        <w:t xml:space="preserve">2. es ist davon auszugehen, dass technische und geotechnische Barrieren ihre Funktion grundsätzlich in dem jeweils vorgesehenen Zeitraum erfüllen, sofern dies nach dem aktuellen Stand von Wissenschaft und Technik nicht ausgeschlossen erscheint;</w:t>
      </w:r>
    </w:p>
    <w:p>
      <w:pPr>
        <w:ind w:left="420"/>
      </w:pPr>
      <w:r>
        <w:t xml:space="preserve">3. in Verbindung mit der vorläufigen Auslegung des Endlagers sind für den Bewertungszeitraum anhand überschlägiger Abschätzungen und Analogiebetrachtungen folgende Aspekte zu bewerten:</w:t>
      </w:r>
    </w:p>
    <w:p>
      <w:pPr>
        <w:ind w:left="780"/>
      </w:pPr>
      <w:r>
        <w:t xml:space="preserve">a) die räumliche Charakterisierbarkeit des Endlagersystems,</w:t>
      </w:r>
    </w:p>
    <w:p>
      <w:pPr>
        <w:ind w:left="780"/>
      </w:pPr>
      <w:r>
        <w:t xml:space="preserve">b) die langfristige Stabilität der geologischen Verhältnisse,</w:t>
      </w:r>
    </w:p>
    <w:p>
      <w:pPr>
        <w:ind w:left="780"/>
      </w:pPr>
      <w:r>
        <w:t xml:space="preserve">c) die thermischen Verhältnisse im Endlagersystem,</w:t>
      </w:r>
    </w:p>
    <w:p>
      <w:pPr>
        <w:ind w:left="780"/>
      </w:pPr>
      <w:r>
        <w:t xml:space="preserve">d) der Flächenbedarf zur Realisierung des Endlagerbergwerkes,</w:t>
      </w:r>
    </w:p>
    <w:p>
      <w:pPr>
        <w:ind w:left="780"/>
      </w:pPr>
      <w:r>
        <w:t xml:space="preserve">e) die Möglichkeit zur Ausweisung eines einschlusswirksamen Gebirgsbereichs und</w:t>
      </w:r>
    </w:p>
    <w:p>
      <w:pPr>
        <w:ind w:left="780"/>
      </w:pPr>
      <w:r>
        <w:t xml:space="preserve">f) für die zu erwartenden Entwicklungen die Möglichkeit des sicheren Einschlusses der Radionuklide nach § 4 der Endlagersicherheitsanforderungsverordnung durch Zusammenwirken verschiedener Sicherheitsfunktionen innerhalb der wesentlichen Barrieren;</w:t>
      </w:r>
    </w:p>
    <w:p>
      <w:pPr>
        <w:ind w:left="420"/>
      </w:pPr>
      <w:r>
        <w:t xml:space="preserve">4. es ist die grundsätzliche Möglichkeit eines sicheren Betriebs darzustellen, jedoch keine vollständige betriebliche Sicherheitsanalyse durchzuführen;</w:t>
      </w:r>
    </w:p>
    <w:p>
      <w:pPr>
        <w:ind w:left="420"/>
      </w:pPr>
      <w:r>
        <w:t xml:space="preserve">5. es ist keine Abschätzung der zusätzlichen jährlichen effektiven Dosis für Einzelpersonen der Bevölkerung vorzunehmen;</w:t>
      </w:r>
    </w:p>
    <w:p>
      <w:pPr>
        <w:ind w:left="420"/>
      </w:pPr>
      <w:r>
        <w:t xml:space="preserve">6. für die Beurteilung nach Absatz 5 ist als Indikator nur das Volumen der im Untersuchungsraum vorkommenden potenziellen Wirtsgesteine heranzuziehen.</w:t>
      </w:r>
    </w:p>
    <w:p>
      <w:r>
        <w:rPr>
          <w:color w:val="555555"/>
          <w:sz w:val="17"/>
        </w:rPr>
        <w:t xml:space="preserve">Zitiervorschlag: § 7 EndlSiUntV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https://recht.nulegal.eu/gesetze/EndlSiUntV/7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