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EndlSiUntV — Vorläufiges Sicherheitskonzept; vorläufige Auslegung des Endlagers</w:t>
      </w:r>
    </w:p>
    <w:p>
      <w:r>
        <w:rPr>
          <w:color w:val="555555"/>
          <w:sz w:val="18"/>
        </w:rPr>
        <w:t xml:space="preserve">Endlagersicherheitsuntersuchungsverordnung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Für den Untersuchungsraum ist in der repräsentativen vorläufigen Sicherheitsuntersuchung nach § 14 Absatz 1 des Standortauswahlgesetzes ein vorläufiges Sicherheitskonzept entsprechend § 10 der Endlagersicherheitsanforderungsverordnung zu erstellen. Dieses vorläufige Sicherheitskonzept ist in der weiterentwickelten und der umfassenden vorläufigen Sicherheitsuntersuchung nach § 16 Absatz 1 und § 18 Absatz 1 des Standortauswahlgesetzes weiterzuentwickeln.</w:t>
      </w:r>
    </w:p>
    <w:p>
      <w:r>
        <w:t xml:space="preserve">(2) Auf der Grundlage des vorläufigen Sicherheitskonzeptes ist eine vorläufige Auslegung des Endlagers entsprechend § 11 der Endlagersicherheitsanforderungsverordnung zu entwickeln.</w:t>
      </w:r>
    </w:p>
    <w:p>
      <w:r>
        <w:t xml:space="preserve">(3) In jeder vorläufigen Sicherheitsuntersuchung ist das Endlagersystem entsprechend § 12 der Endlagersicherheitsanforderungsverordnung zu optimieren. Es ist darzustellen, welche Optimierungsmaßnahmen in die vorläufige Auslegung des Endlagers im jeweils aktuellen Stand eingegangen sind.</w:t>
      </w:r>
    </w:p>
    <w:p>
      <w:r>
        <w:t xml:space="preserve">(4) Für die repräsentativen vorläufigen Sicherheitsuntersuchungen nach § 14 Absatz 1 des Standortauswahlgesetzes ist abweichend von Absatz 2 in Übereinstimmung mit dem vorläufigen Sicherheitskonzept folgende vorläufige Auslegung des Endlagers ausreichend:</w:t>
      </w:r>
    </w:p>
    <w:p>
      <w:pPr>
        <w:ind w:left="420"/>
      </w:pPr>
      <w:r>
        <w:t xml:space="preserve">1. die Beschreibung der wesentlichen Barrieren nach § 4 Absatz 3 der Endlagersicherheitsanforderungsverordnung, deren grundlegende Eigenschaften und deren räumliche Erstreckung sowie die Beschreibung der weiteren Barrieren des Endlagersystems,</w:t>
      </w:r>
    </w:p>
    <w:p>
      <w:pPr>
        <w:ind w:left="420"/>
      </w:pPr>
      <w:r>
        <w:t xml:space="preserve">2. die maximale Größe eines möglichen Endlagerbergwerkes, einschließlich der Zugangs- und Bewetterungsbauwerke und der Infrastrukturbereiche, sowie die geplante Tiefenlage,</w:t>
      </w:r>
    </w:p>
    <w:p>
      <w:pPr>
        <w:ind w:left="420"/>
      </w:pPr>
      <w:r>
        <w:t xml:space="preserve">3. die geplante Art der Einlagerung,</w:t>
      </w:r>
    </w:p>
    <w:p>
      <w:pPr>
        <w:ind w:left="420"/>
      </w:pPr>
      <w:r>
        <w:t xml:space="preserve">4. mögliche Maßnahmen zur Gewährleistung der Rückholbarkeit bereits eingelagerter Endlagergebinde,</w:t>
      </w:r>
    </w:p>
    <w:p>
      <w:pPr>
        <w:ind w:left="420"/>
      </w:pPr>
      <w:r>
        <w:t xml:space="preserve">5. mögliche Verschluss- und Versatzmaßnahmen und</w:t>
      </w:r>
    </w:p>
    <w:p>
      <w:pPr>
        <w:ind w:left="420"/>
      </w:pPr>
      <w:r>
        <w:t xml:space="preserve">6. mögliche Maßnahmen zur Geringhaltung der Schädigung der wesentlichen Barrieren während der Erkundung, der Errichtung, dem Betrieb und der Stilllegung des Endlagers.</w:t>
      </w:r>
    </w:p>
    <w:p>
      <w:r>
        <w:rPr>
          <w:color w:val="555555"/>
          <w:sz w:val="17"/>
        </w:rPr>
        <w:t xml:space="preserve">Zitiervorschlag: § 6 EndlSiUntV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https://recht.nulegal.eu/gesetze/EndlSiUntV/6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