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EndlSiAnfV — Erkundung des Endlagerstandortes</w:t>
      </w:r>
    </w:p>
    <w:p>
      <w:r>
        <w:rPr>
          <w:color w:val="555555"/>
          <w:sz w:val="18"/>
        </w:rPr>
        <w:t xml:space="preserve">Endlagersicherheitsanforderungsverordnung</w:t>
      </w:r>
    </w:p>
    <w:p>
      <w:r>
        <w:rPr>
          <w:color w:val="555555"/>
          <w:sz w:val="18"/>
        </w:rPr>
        <w:t xml:space="preserve">Stand: 15.10.2020 (konsolidierte Textfassung, kein amtliches Inkrafttretensdatum)</w:t>
      </w:r>
    </w:p>
    <w:p>
      <w:r>
        <w:t xml:space="preserve">(1) Bei der Erkundung des Endlagerstandortes sind die Daten über die Eigenschaften des Standortes, die für die Sicherheit des Endlagers wesentlich sind, qualitätsgesichert und in einem für den Sicherheitsbericht ausreichenden Umfang zu erheben. Die vorgesehene Qualitätssicherung muss dem Stand von Wissenschaft und Technik entsprechen. Die Variationsbreite der erhobenen Daten ist zu ermitteln und ihre mögliche Veränderung während der Errichtung, des Betriebs und der Stilllegung des Endlagers sowie im Bewertungszeitraum ist abzuschätzen.</w:t>
      </w:r>
    </w:p>
    <w:p>
      <w:r>
        <w:t xml:space="preserve">(2) Alle untertägigen Hohlräume sind gebirgsschonend aufzufahren und nach Gebrauch so zu verschließen, dass die für den sicheren Einschluss der radioaktiven Abfälle relevanten Eigenschaften des Gebirges im Endlagerbereich, insbesondere des einschlusswirksamen Gebirgsbereichs im Fall des § 4 Absatz 3 Nummer 1, erhalten bleiben.</w:t>
      </w:r>
    </w:p>
    <w:p>
      <w:r>
        <w:t xml:space="preserve">(3) Alle geschaffenen oder bereits bestehenden Hohlräume und Bohrungen sind zu dokumentieren. Dies gilt auch für solche Hohlräume und Bohrungen, die nur vorübergehend bestehen oder die nur einen geringfügigen Umfang haben.</w:t>
      </w:r>
    </w:p>
    <w:p>
      <w:r>
        <w:t xml:space="preserve">(4) Die Arbeiten sind so zügig durchzuführen, wie dies unter Gewährleistung der erforderlichen Sicherheit möglich ist.</w:t>
      </w:r>
    </w:p>
    <w:p>
      <w:r>
        <w:rPr>
          <w:color w:val="555555"/>
          <w:sz w:val="17"/>
        </w:rPr>
        <w:t xml:space="preserve">Zitiervorschlag: § 9 EndlSiAnfV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https://recht.nulegal.eu/gesetze/EndlSiAnfV/9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