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EndlSiAnfV — Endlagerung von schwach- und mittelradioaktiven Abfällen am selben Standort</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Durch eine zusätzliche Endlagerung von schwach- und mittelradioaktiven Abfällen am selben Standort</w:t>
      </w:r>
    </w:p>
    <w:p>
      <w:pPr>
        <w:ind w:left="420"/>
      </w:pPr>
      <w:r>
        <w:t xml:space="preserve">1. darf die Robustheit des Endlagersystems für hochradioaktive Abfälle für zu erwartende Entwicklungen nicht beeinträchtigt werden und</w:t>
      </w:r>
    </w:p>
    <w:p>
      <w:pPr>
        <w:ind w:left="420"/>
      </w:pPr>
      <w:r>
        <w:t xml:space="preserve">2. dürfen sich mögliche Austragungen von Radionukliden nach § 4 Absatz 5 und 6 für die zu erwartenden und die abweichenden Entwicklungen nicht erhöhen.</w:t>
      </w:r>
    </w:p>
    <w:p>
      <w:r>
        <w:t xml:space="preserve">(2) Soll am selben Standort eine zusätzliche Endlagerung von schwach- und mittelradioaktiven Abfällen erfolgen, so ist für diese Abfälle ein separates Endlagerbergwerk aufzufahren. Zwischen der technischen Infrastruktur dieses Endlagerbergwerkes und der technischen Infrastruktur des Endlagerbergwerkes für hochradioaktive Abfälle dürfen keine sicherheitsrelevanten wechselseitigen Abhängigkeiten oder nachteiligen Beeinflussungen bestehen. Die übertägige Handhabung und Behandlung der hochradioaktiven Abfälle und der schwach- und mittelradioaktiven Abfälle sind voneinander zu trennen. Über die Sätze 1 bis 3 hinausgehende Anforderungen an die Betriebs-und Langzeitsicherheit des Endlagers für schwach- und mittelradioaktive Abfälle sind nicht Gegenstand dieser Verordnung.</w:t>
      </w:r>
    </w:p>
    <w:p>
      <w:r>
        <w:t xml:space="preserve">(3) Absatz 2 gilt nicht für geringe Mengen schwach- und mittelradioaktiver Abfälle, deren Volumen deutlich geringer ist als das Volumen der am selben Standort einzulagernden hochradioaktiven Abfälle. Für diese geringen Mengen schwach- und mittelradioaktiver Abfälle gelten die Bestimmungen dieser Verordnung mit Ausnahme der §§ 13 und 14 entsprechend. Insbesondere ist im Sicherheitsbericht darzulegen, dass diese geringen Mengen schwach- und mittelradioaktiver Abfälle die Integrität der technischen, geotechnischen und geologischen Barrieren entsprechend Absatz 1 nicht nachteilig beeinflussen.</w:t>
      </w:r>
    </w:p>
    <w:p>
      <w:r>
        <w:rPr>
          <w:color w:val="555555"/>
          <w:sz w:val="17"/>
        </w:rPr>
        <w:t xml:space="preserve">Zitiervorschlag: § 21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