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EndlSiAnfV — Überwachung des Endlagers und seiner Umgebung</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Das Endlager und seine Umgebung sind im Rahmen eines Monitorings kontinuierlich zu überwachen. Das Monitoring hat insbesondere solche beobachtbaren Parameter zu überwachen, die frühzeitig auf Abweichungen von den zu erwartenden Entwicklungen des Endlagersystems hindeuten können. Bei der Festlegung der zu überwachenden Parameter sind die Ergebnisse der vorläufigen Sicherheitsuntersuchungen nach § 14 Absatz 1 Satz 2, § 16 Absatz 1 Satz 2 und § 18 Absatz 1 Satz 2 des Standortauswahlgesetzes sowie die absehbaren zukünftigen Informationsbedürfnisse zu berücksichtigen.</w:t>
      </w:r>
    </w:p>
    <w:p>
      <w:r>
        <w:t xml:space="preserve">(2) Das Monitoring ist vom Betreiber möglichst frühzeitig einzurichten. Es beginnt spätestens mit der Erkundung des Endlagerstandortes nach § 9. Die Ergebnisse des Monitorings sind zu dokumentieren.</w:t>
      </w:r>
    </w:p>
    <w:p>
      <w:r>
        <w:t xml:space="preserve">(3) Das Monitoring ist ab seinem Beginn in zehnjährigen Abständen systematisch fortzuschreiben. Nach der Erteilung der Genehmigung nach § 9b Absatz 1a des Atomgesetzes erfolgt die Fortschreibung im Rahmen der periodischen Sicherheitsüberprüfungen nach § 9h des Atomgesetzes in Verbindung mit § 19a Absatz 3 und 4 des Atomgesetzes. In jeder Fortschreibung sind die jeweils bestehenden Zugangsmöglichkeiten zu den radioaktiven Abfällen sowie mögliche Fortentwicklungen der Erkenntnismethoden und Erkenntnismöglichkeiten zu berücksichtigen. In jeder Fortschreibung ist auch aufzuzeigen, welcher Entwicklungsbedarf für die verwendeten und möglichen neuen Monitoring-Methoden besteht und wie dieser berücksichtigt werden soll.</w:t>
      </w:r>
    </w:p>
    <w:p>
      <w:r>
        <w:t xml:space="preserve">(4) Die Maßnahmen des Monitorings dürfen zu keiner sicherheitsrelevanten Beeinträchtigung des Endlagersystems führen.</w:t>
      </w:r>
    </w:p>
    <w:p>
      <w:r>
        <w:rPr>
          <w:color w:val="555555"/>
          <w:sz w:val="17"/>
        </w:rPr>
        <w:t xml:space="preserve">Zitiervorschlag: § 20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