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EndlSiAnfV — Begriffsbestimmungen</w:t>
      </w:r>
    </w:p>
    <w:p>
      <w:r>
        <w:rPr>
          <w:color w:val="555555"/>
          <w:sz w:val="18"/>
        </w:rPr>
        <w:t xml:space="preserve">Endlagersicherheitsanforderungsverordnung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Im Sinne dieser Verordnung ist oder sind:</w:t>
      </w:r>
    </w:p>
    <w:p>
      <w:pPr>
        <w:ind w:left="420"/>
      </w:pPr>
      <w:r>
        <w:t xml:space="preserve">1. wesentliche Barrierendie Barrieren, auf denen der sichere Einschluss der radioaktiven Abfälle beruht;</w:t>
      </w:r>
    </w:p>
    <w:p>
      <w:pPr>
        <w:ind w:left="420"/>
      </w:pPr>
      <w:r>
        <w:t xml:space="preserve">2. weitere Barrierendie Barrieren, die zusätzlich zu den wesentlichen Barrieren und im Zusammenwirken mit ihnen eine Ausbreitung von Radionukliden be- oder verhindern;</w:t>
      </w:r>
    </w:p>
    <w:p>
      <w:pPr>
        <w:ind w:left="420"/>
      </w:pPr>
      <w:r>
        <w:t xml:space="preserve">3. Bewertungszeitraumder Zeitraum, für den die Langzeitsicherheit des Endlagers zu prüfen und darzustellen ist;</w:t>
      </w:r>
    </w:p>
    <w:p>
      <w:pPr>
        <w:ind w:left="420"/>
      </w:pPr>
      <w:r>
        <w:t xml:space="preserve">4. Endlagergebindedie zur Endlagerung vorgesehenen Behälter mit radioaktiven Abfällen;</w:t>
      </w:r>
    </w:p>
    <w:p>
      <w:pPr>
        <w:ind w:left="420"/>
      </w:pPr>
      <w:r>
        <w:t xml:space="preserve">5. Integritätder Erhalt der für den sicheren Einschluss der radioaktiven Abfälle relevanten Eigenschaften der Barrieren des Endlagersystems;</w:t>
      </w:r>
    </w:p>
    <w:p>
      <w:pPr>
        <w:ind w:left="420"/>
      </w:pPr>
      <w:r>
        <w:t xml:space="preserve">6. Langzeitsicherheitder dauerhafte Schutz des Menschen und, soweit es um den langfristigen Schutz der menschlichen Gesundheit geht, der Umwelt vor der schädlichen Wirkung ionisierender Strahlung radioaktiver Abfälle;</w:t>
      </w:r>
    </w:p>
    <w:p>
      <w:pPr>
        <w:ind w:left="420"/>
      </w:pPr>
      <w:r>
        <w:t xml:space="preserve">7. Sicherheitsberichtder Sicherheitsbericht nach § 3 Absatz 1 Nummer 1 der Atomrechtlichen Verfahrensverordnung;</w:t>
      </w:r>
    </w:p>
    <w:p>
      <w:pPr>
        <w:ind w:left="420"/>
      </w:pPr>
      <w:r>
        <w:t xml:space="preserve">8. Sicherheitsfunktioneine Eigenschaft einer Komponente des Endlagersystems oder ein im Endlagersystem ablaufender Prozess, die oder der sicherheitsrelevante Anforderungen an ein sicherheitsbezogenes System oder Teilsystem oder an eine Einzelkomponente erfüllt;</w:t>
      </w:r>
    </w:p>
    <w:p>
      <w:pPr>
        <w:ind w:left="420"/>
      </w:pPr>
      <w:r>
        <w:t xml:space="preserve">9. Robustheitdie Unempfindlichkeit der Sicherheitsfunktionen des Endlagersystems und seiner Barrieren gegenüber inneren und äußeren Einflüssen und Störungen.</w:t>
      </w:r>
    </w:p>
    <w:p>
      <w:r>
        <w:t xml:space="preserve">Im Übrigen sind die Begriffsbestimmungen nach § 2 des Standortauswahlgesetzes anzuwenden.</w:t>
      </w:r>
    </w:p>
    <w:p>
      <w:r>
        <w:rPr>
          <w:color w:val="555555"/>
          <w:sz w:val="17"/>
        </w:rPr>
        <w:t xml:space="preserve">Zitiervorschlag: § 2 EndlSiAnfV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https://recht.nulegal.eu/gesetze/EndlSiAnfV/2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