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EndlSiAnfV — Stilllegung des Endlagers</w:t>
      </w:r>
    </w:p>
    <w:p>
      <w:r>
        <w:rPr>
          <w:color w:val="555555"/>
          <w:sz w:val="18"/>
        </w:rPr>
        <w:t xml:space="preserve">Endlagersicherheitsanforderungsverordnung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Nach Abschluss der Einlagerung von radioaktiven Abfällen ist das Endlager so stillzulegen, dass das Endlagersystem den sicheren Einschluss der radioaktiven Abfälle nach § 4 während des Bewertungszeitraumes passiv und wartungsfrei gewährleistet.</w:t>
      </w:r>
    </w:p>
    <w:p>
      <w:r>
        <w:t xml:space="preserve">(2) Die Stilllegung des Endlagers umfasst insbesondere die möglichst vollständige Verfüllung aller untertägigen Hohlräume und ihren Verschluss sowie den Rückbau der die Langzeitsicherheit beeinträchtigenden technischen Einrichtungen.</w:t>
      </w:r>
    </w:p>
    <w:p>
      <w:r>
        <w:t xml:space="preserve">(3) § 9 Absatz 2 bis 4 gilt entsprechend.</w:t>
      </w:r>
    </w:p>
    <w:p>
      <w:r>
        <w:rPr>
          <w:color w:val="555555"/>
          <w:sz w:val="17"/>
        </w:rPr>
        <w:t xml:space="preserve">Zitiervorschlag: § 19 EndlSiAnfV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https://recht.nulegal.eu/gesetze/EndlSiAnfV/19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