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EndlSiAnfV — Einlagerung von radioaktiven Abfällen</w:t>
      </w:r>
    </w:p>
    <w:p>
      <w:r>
        <w:rPr>
          <w:color w:val="555555"/>
          <w:sz w:val="18"/>
        </w:rPr>
        <w:t xml:space="preserve">Endlagersicherheitsanforderungsverordnung</w:t>
      </w:r>
    </w:p>
    <w:p>
      <w:r>
        <w:rPr>
          <w:color w:val="555555"/>
          <w:sz w:val="18"/>
        </w:rPr>
        <w:t xml:space="preserve">Stand: 15.10.2020 (konsolidierte Textfassung, kein amtliches Inkrafttretensdatum)</w:t>
      </w:r>
    </w:p>
    <w:p>
      <w:r>
        <w:t xml:space="preserve">(1) Es dürfen nur solche Endlagergebinde in das Endlagerbergwerk eingebracht werden, deren Endlagerfähigkeit nach § 3 Absatz 1 Satz 2 der Atomrechtlichen Entsorgungsverordnung festgestellt worden ist.</w:t>
      </w:r>
    </w:p>
    <w:p>
      <w:r>
        <w:t xml:space="preserve">(2) Der für die Einlagerung von radioaktiven Abfällen genutzte Bereich des Endlagerbergwerkes ist auf das notwendige Maß zu beschränken. Dieser Bereich ist jeweils zügig aufzufahren, zu beladen, zu verfüllen und gemäß dem Verschlusskonzept gegen das restliche Endlagerbergwerk zu verschließen.</w:t>
      </w:r>
    </w:p>
    <w:p>
      <w:r>
        <w:t xml:space="preserve">(3) Die Handhabung von Endlagergebinden ist von den bergmännischen Arbeiten im Endlagerbergwerk und sonstigen baulichen Arbeiten auf dem Gelände des Endlagers zu trennen.</w:t>
      </w:r>
    </w:p>
    <w:p>
      <w:r>
        <w:t xml:space="preserve">(4) Während des Betriebs muss gewährleistet sein, dass jederzeit die personellen Voraussetzungen für eine eventuell notwendige Teilumsetzung des Stilllegungskonzeptes, die das Endlager in einen passiv sicheren Zustand versetzt, bestehen. Die dazu erforderlichen technischen Einrichtungen sind vorzuhalten.</w:t>
      </w:r>
    </w:p>
    <w:p>
      <w:r>
        <w:rPr>
          <w:color w:val="555555"/>
          <w:sz w:val="17"/>
        </w:rPr>
        <w:t xml:space="preserve">Zitiervorschlag: § 18 EndlSiAnfV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https://recht.nulegal.eu/gesetze/EndlSiAnfV/18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