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EndlSiAnfV — Sicherheit während der Errichtung, des Betriebs und der Stilllegung des Endlagers; Anlagenzustände</w:t>
      </w:r>
    </w:p>
    <w:p>
      <w:r>
        <w:rPr>
          <w:color w:val="555555"/>
          <w:sz w:val="18"/>
        </w:rPr>
        <w:t xml:space="preserve">Endlagersicherheitsanforderungsverordnung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(1) Die für die Sicherheit des Endlagers relevanten Anlagenzustände während der Errichtung, des Betriebs und der Stilllegung sind systematisch zu ermitteln, zu beschreiben und einzuordnen als</w:t>
      </w:r>
    </w:p>
    <w:p>
      <w:pPr>
        <w:ind w:left="420"/>
      </w:pPr>
      <w:r>
        <w:t xml:space="preserve">1. Normalbetrieb,</w:t>
      </w:r>
    </w:p>
    <w:p>
      <w:pPr>
        <w:ind w:left="420"/>
      </w:pPr>
      <w:r>
        <w:t xml:space="preserve">2. anomaler Betrieb,</w:t>
      </w:r>
    </w:p>
    <w:p>
      <w:pPr>
        <w:ind w:left="420"/>
      </w:pPr>
      <w:r>
        <w:t xml:space="preserve">3. Auslegungsstörfälle oder</w:t>
      </w:r>
    </w:p>
    <w:p>
      <w:pPr>
        <w:ind w:left="420"/>
      </w:pPr>
      <w:r>
        <w:t xml:space="preserve">4. auslegungsüberschreitende Unfälle und Ereignisse.</w:t>
      </w:r>
    </w:p>
    <w:p>
      <w:r>
        <w:t xml:space="preserve">(2) Für diese Anlagenzustände sind entsprechend gestaffelte Abwehr- und Schutzmaßnahmen als Teil des Sicherheitskonzeptes zu entwickeln und umzusetzen.</w:t>
      </w:r>
    </w:p>
    <w:p>
      <w:r>
        <w:t xml:space="preserve">(3) In dem Sicherheitskonzept sind</w:t>
      </w:r>
    </w:p>
    <w:p>
      <w:pPr>
        <w:ind w:left="420"/>
      </w:pPr>
      <w:r>
        <w:t xml:space="preserve">1. für den Normalbetrieb Maßnahmen vorzusehen, die den bestimmungsgemäßen Betrieb des Endlagers gewährleisten und das Eintreten anderer Anlagenzustände vermeiden,</w:t>
      </w:r>
    </w:p>
    <w:p>
      <w:pPr>
        <w:ind w:left="420"/>
      </w:pPr>
      <w:r>
        <w:t xml:space="preserve">2. für den anomalen Betrieb Maßnahmen vorzusehen, die das Eintreten von Störfällen verhindern und das Endlager in den Normalbetrieb zurückführen,</w:t>
      </w:r>
    </w:p>
    <w:p>
      <w:pPr>
        <w:ind w:left="420"/>
      </w:pPr>
      <w:r>
        <w:t xml:space="preserve">3. für Auslegungsstörfälle Maßnahmen entsprechend § 104 Absatz 1 Satz 1 und 2 der Strahlenschutzverordnung vom 29. November 2018 (BGBl. I S. 2034, 2036), die durch Artikel 1 der Verordnung vom 27. März 2020 (BGBl. I S. 748) geändert worden ist, in der jeweils geltenden Fassung vorzusehen, die den Störfall beherrschen und das Endlager in einen sichereren Anlagenzustand zurückführen,</w:t>
      </w:r>
    </w:p>
    <w:p>
      <w:pPr>
        <w:ind w:left="420"/>
      </w:pPr>
      <w:r>
        <w:t xml:space="preserve">4. für auslegungsüberschreitende Unfälle und Ereignisse Maßnahmen vorzusehen, die die Auswirkungen des Ereignisses auf die Umgebung soweit wie möglich begrenzen.</w:t>
      </w:r>
    </w:p>
    <w:p>
      <w:r>
        <w:t xml:space="preserve">(4) Die Maßnahmen dürfen die Langzeitsicherheit des Endlagersystems nicht erheblich und nicht mehr als unvermeidlich beeinträchtigen.</w:t>
      </w:r>
    </w:p>
    <w:p>
      <w:r>
        <w:rPr>
          <w:color w:val="555555"/>
          <w:sz w:val="17"/>
        </w:rPr>
        <w:t xml:space="preserve">Zitiervorschlag: § 17 EndlSiAnfV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https://recht.nulegal.eu/gesetze/EndlSiAnfV/17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