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EndlSiAnfV — Probebetrieb des Endlagers</w:t>
      </w:r>
    </w:p>
    <w:p>
      <w:r>
        <w:rPr>
          <w:color w:val="555555"/>
          <w:sz w:val="18"/>
        </w:rPr>
        <w:t xml:space="preserve">Endlagersicherheitsanforderungsverordnung</w:t>
      </w:r>
    </w:p>
    <w:p>
      <w:r>
        <w:rPr>
          <w:color w:val="555555"/>
          <w:sz w:val="18"/>
        </w:rPr>
        <w:t xml:space="preserve">Stand: 15.10.2020 (konsolidierte Textfassung, kein amtliches Inkrafttretensdatum)</w:t>
      </w:r>
    </w:p>
    <w:p>
      <w:r>
        <w:t xml:space="preserve">(1) Vor der erstmaligen Annahme von radioaktiven Abfällen zum Zweck der Endlagerung muss der Betrieb des Endlagers erfolgreich erprobt worden sein.</w:t>
      </w:r>
    </w:p>
    <w:p>
      <w:r>
        <w:t xml:space="preserve">(2) Bei der Erprobung des Betriebs</w:t>
      </w:r>
    </w:p>
    <w:p>
      <w:pPr>
        <w:ind w:left="420"/>
      </w:pPr>
      <w:r>
        <w:t xml:space="preserve">1. muss die Errichtung des Endlagers nach § 15 abgeschlossen sein,</w:t>
      </w:r>
    </w:p>
    <w:p>
      <w:pPr>
        <w:ind w:left="420"/>
      </w:pPr>
      <w:r>
        <w:t xml:space="preserve">2. muss die Handhabung und Einlagerung von Endlagergebinden ohne radioaktive Beladung durchgeführt werden,</w:t>
      </w:r>
    </w:p>
    <w:p>
      <w:pPr>
        <w:ind w:left="420"/>
      </w:pPr>
      <w:r>
        <w:t xml:space="preserve">3. muss die Funktionsfähigkeit aller technischen Einrichtungen, die für eine mögliche Rückholung von eingelagerten Endlagergebinden erforderlich sind, sichergestellt werden und</w:t>
      </w:r>
    </w:p>
    <w:p>
      <w:pPr>
        <w:ind w:left="420"/>
      </w:pPr>
      <w:r>
        <w:t xml:space="preserve">4. müssen die vorgesehenen technischen Stilllegungs- und Verschlussmaßnahmen nach § 11 Absatz 1 Satz 2 Nummer 8 verfügbar sein.</w:t>
      </w:r>
    </w:p>
    <w:p>
      <w:r>
        <w:t xml:space="preserve">(3) Zum Abschluss der Erprobung ist der Sicherheitsbericht zu überprüfen.</w:t>
      </w:r>
    </w:p>
    <w:p>
      <w:r>
        <w:t xml:space="preserve">(4) § 9 Absatz 2 bis 4 gilt entsprechend.</w:t>
      </w:r>
    </w:p>
    <w:p>
      <w:r>
        <w:rPr>
          <w:color w:val="555555"/>
          <w:sz w:val="17"/>
        </w:rPr>
        <w:t xml:space="preserve">Zitiervorschlag: § 16 EndlSiAnfV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https://recht.nulegal.eu/gesetze/EndlSiAnfV/16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