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EndlSiAnfV — Errichtung des Endlagers</w:t>
      </w:r>
    </w:p>
    <w:p>
      <w:r>
        <w:rPr>
          <w:color w:val="555555"/>
          <w:sz w:val="18"/>
        </w:rPr>
        <w:t xml:space="preserve">Endlagersicherheitsanforderungsverordnung</w:t>
      </w:r>
    </w:p>
    <w:p>
      <w:r>
        <w:rPr>
          <w:color w:val="555555"/>
          <w:sz w:val="18"/>
        </w:rPr>
        <w:t xml:space="preserve">Stand: 15.10.2020 (konsolidierte Textfassung, kein amtliches Inkrafttretensdatum)</w:t>
      </w:r>
    </w:p>
    <w:p>
      <w:r>
        <w:t xml:space="preserve">(1) Die Errichtung des Endlagers umfasst alle Auffahrungen sowie die weiteren über- und untertägigen baulichen und technischen Maßnahmen, durch die das Endlager so vorbereitet wird, dass anschließend die Einlagerung von radioaktiven Abfällen erfolgen kann.</w:t>
      </w:r>
    </w:p>
    <w:p>
      <w:r>
        <w:t xml:space="preserve">(2) Zur Errichtung des Endlagers zählen insbesondere</w:t>
      </w:r>
    </w:p>
    <w:p>
      <w:pPr>
        <w:ind w:left="420"/>
      </w:pPr>
      <w:r>
        <w:t xml:space="preserve">1. die Errichtung der übertägigen Betriebs- und Infrastrukturgebäude sowie die Errichtung der Einrichtungen zur zeitweiligen Lagerung und Handhabung von Endlagergebinden,</w:t>
      </w:r>
    </w:p>
    <w:p>
      <w:pPr>
        <w:ind w:left="420"/>
      </w:pPr>
      <w:r>
        <w:t xml:space="preserve">2. die Errichtung der Zugangs- und Bewetterungsbauwerke,</w:t>
      </w:r>
    </w:p>
    <w:p>
      <w:pPr>
        <w:ind w:left="420"/>
      </w:pPr>
      <w:r>
        <w:t xml:space="preserve">3. das Auffahren der untertägigen Infrastrukturbereiche und das Auffahren der Ansatzpunkte für Zugangsstrecken zu den Bereichen des Endlagerbergwerks, die für die Einlagerung von radioaktiven Abfällen vorgesehen sind,</w:t>
      </w:r>
    </w:p>
    <w:p>
      <w:pPr>
        <w:ind w:left="420"/>
      </w:pPr>
      <w:r>
        <w:t xml:space="preserve">4. die Installation aller technischen Einrichtungen, die für die untertägige Handhabung und Einlagerung von Endlagergebinden erforderlich sind, und</w:t>
      </w:r>
    </w:p>
    <w:p>
      <w:pPr>
        <w:ind w:left="420"/>
      </w:pPr>
      <w:r>
        <w:t xml:space="preserve">5. die Bereitstellung aller technischen Einrichtungen, die für eine mögliche Rückholung von eingelagerten Endlagergebinden erforderlich sind.</w:t>
      </w:r>
    </w:p>
    <w:p>
      <w:r>
        <w:t xml:space="preserve">(3) § 9 Absatz 2 bis 4 gilt entsprechend.</w:t>
      </w:r>
    </w:p>
    <w:p>
      <w:r>
        <w:rPr>
          <w:color w:val="555555"/>
          <w:sz w:val="17"/>
        </w:rPr>
        <w:t xml:space="preserve">Zitiervorschlag: § 15 EndlSiAnfV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https://recht.nulegal.eu/gesetze/EndlSiAnfV/15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