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EndlSiAnfV — Ermöglichung einer Bergung eingelagerter Endlagergebinde</w:t>
      </w:r>
    </w:p>
    <w:p>
      <w:r>
        <w:rPr>
          <w:color w:val="555555"/>
          <w:sz w:val="18"/>
        </w:rPr>
        <w:t xml:space="preserve">Endlagersicherheitsanforderungsverordnung</w:t>
      </w:r>
    </w:p>
    <w:p>
      <w:r>
        <w:rPr>
          <w:color w:val="555555"/>
          <w:sz w:val="18"/>
        </w:rPr>
        <w:t xml:space="preserve">Stand: 15.10.2020 (konsolidierte Textfassung, kein amtliches Inkrafttretensdatum)</w:t>
      </w:r>
    </w:p>
    <w:p>
      <w:r>
        <w:t xml:space="preserve">(1) Es sind ausreichende Vorkehrungen dafür zu treffen, dass eine Bergung der eingelagerten Endlagergebinde während der Stilllegung und für einen Zeitraum von 500 Jahren nach dem vorgesehenen Verschluss des Endlagers möglich ist.</w:t>
      </w:r>
    </w:p>
    <w:p>
      <w:r>
        <w:t xml:space="preserve">(2) Die Vorkehrungen sind ausreichend, wenn</w:t>
      </w:r>
    </w:p>
    <w:p>
      <w:pPr>
        <w:ind w:left="420"/>
      </w:pPr>
      <w:r>
        <w:t xml:space="preserve">1. für die zu erwartenden Entwicklungen des Endlagersystems die eingelagerten Endlagergebinde für einen Zeitraum von 500 Jahren nach dem vorgesehenen Verschluss des Endlagers</w:t>
      </w:r>
    </w:p>
    <w:p>
      <w:pPr>
        <w:ind w:left="780"/>
      </w:pPr>
      <w:r>
        <w:t xml:space="preserve">a) individuell aufgefunden und identifiziert werden können,</w:t>
      </w:r>
    </w:p>
    <w:p>
      <w:pPr>
        <w:ind w:left="780"/>
      </w:pPr>
      <w:r>
        <w:t xml:space="preserve">b) mechanisch so stabil sind, dass eine Handhabung ganzer Endlagergebinde möglich ist, und</w:t>
      </w:r>
    </w:p>
    <w:p>
      <w:pPr>
        <w:ind w:left="780"/>
      </w:pPr>
      <w:r>
        <w:t xml:space="preserve">c) bei ihrer Handhabung keine Freisetzung von radioaktiven Aerosolen erwarten lassen und</w:t>
      </w:r>
    </w:p>
    <w:p>
      <w:pPr>
        <w:ind w:left="420"/>
      </w:pPr>
      <w:r>
        <w:t xml:space="preserve">2. eine umfassende Dokumentation angelegt wird über</w:t>
      </w:r>
    </w:p>
    <w:p>
      <w:pPr>
        <w:ind w:left="780"/>
      </w:pPr>
      <w:r>
        <w:t xml:space="preserve">a) das aufgefahrene Endlagerbergwerk einschließlich seiner Stilllegung,</w:t>
      </w:r>
    </w:p>
    <w:p>
      <w:pPr>
        <w:ind w:left="780"/>
      </w:pPr>
      <w:r>
        <w:t xml:space="preserve">b) sämtliche eingelagerten Endlagergebinde einschließlich ihrer jeweiligen Beladung und Position im Endlagerbergwerk und</w:t>
      </w:r>
    </w:p>
    <w:p>
      <w:pPr>
        <w:ind w:left="780"/>
      </w:pPr>
      <w:r>
        <w:t xml:space="preserve">c) die zu erwartenden und die abweichenden Entwicklungen des Endlagersystems.</w:t>
      </w:r>
    </w:p>
    <w:p>
      <w:pPr>
        <w:ind w:left="420"/>
      </w:pPr>
      <w:r>
        <w:t xml:space="preserve">Die Dokumentation muss an mindestens zwei räumlich und organisatorisch voneinander getrennten Stellen möglichst langfristig verfügbar und lesbar gehalten werden.</w:t>
      </w:r>
    </w:p>
    <w:p>
      <w:r>
        <w:t xml:space="preserve">(3) Maßnahmen, die der Ermöglichung einer Bergung dienen, dürfen die Langzeitsicherheit des Endlagers nicht gefährden.</w:t>
      </w:r>
    </w:p>
    <w:p>
      <w:r>
        <w:rPr>
          <w:color w:val="555555"/>
          <w:sz w:val="17"/>
        </w:rPr>
        <w:t xml:space="preserve">Zitiervorschlag: § 14 EndlSiAnfV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https://recht.nulegal.eu/gesetze/EndlSiAnfV/14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