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EndlSiAnfV — Rückholbarkeit eingelagerter Endlagergebinde</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Endlagergebinde, die in das Endlager eingelagert wurden, müssen bis zum Beginn der Stilllegung des Endlagers rückholbar sein.</w:t>
      </w:r>
    </w:p>
    <w:p>
      <w:r>
        <w:t xml:space="preserve">(2) Die Rückholung ist so zu planen, dass der dafür voraussichtlich erforderliche technische und zeitliche Aufwand den für die Einlagerung erforderlichen Aufwand nicht unverhältnismäßig übersteigt. Die für eine Rückholung erforderlichen technischen Einrichtungen sind während des Betriebs vorzuhalten.</w:t>
      </w:r>
    </w:p>
    <w:p>
      <w:r>
        <w:t xml:space="preserve">(3) Maßnahmen, die der Gewährleistung der Rückholbarkeit dienen, dürfen die Langzeitsicherheit des Endlagers nicht gefährden.</w:t>
      </w:r>
    </w:p>
    <w:p>
      <w:r>
        <w:rPr>
          <w:color w:val="555555"/>
          <w:sz w:val="17"/>
        </w:rPr>
        <w:t xml:space="preserve">Zitiervorschlag: § 13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