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EndlSiAnfV — Auslegung des Endlagers</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Die technische Auslegung des Endlagers ist aus dem Sicherheitskonzept abzuleiten und zu optimieren. Sie hat insbesondere Folgendes zu umfassen:</w:t>
      </w:r>
    </w:p>
    <w:p>
      <w:pPr>
        <w:ind w:left="420"/>
      </w:pPr>
      <w:r>
        <w:t xml:space="preserve">1. die Definition der wesentlichen Barrieren nach § 4 Absatz 3 unter Berücksichtigung der Endlagergebinde, der Einlagerungstechnik und der Einlagerungsgeometrie, dabei</w:t>
      </w:r>
    </w:p>
    <w:p>
      <w:pPr>
        <w:ind w:left="780"/>
      </w:pPr>
      <w:r>
        <w:t xml:space="preserve">a) im Fall des § 4 Absatz 3 Nummer 1 Lage und Abmessungen des einschlusswirksamen Gebirgsbereichs oder</w:t>
      </w:r>
    </w:p>
    <w:p>
      <w:pPr>
        <w:ind w:left="780"/>
      </w:pPr>
      <w:r>
        <w:t xml:space="preserve">b) im Fall des § 4 Absatz 3 Nummer 2 Spezifikationen der wesentlichen technischen und geotechnischen Barrieren,</w:t>
      </w:r>
    </w:p>
    <w:p>
      <w:pPr>
        <w:ind w:left="420"/>
      </w:pPr>
      <w:r>
        <w:t xml:space="preserve">2. die Definition der weiteren Barrieren des Endlagersystems unter Berücksichtigung der Endlagergebinde, der Einlagerungstechnik und der Einlagerungsgeometrie,</w:t>
      </w:r>
    </w:p>
    <w:p>
      <w:pPr>
        <w:ind w:left="420"/>
      </w:pPr>
      <w:r>
        <w:t xml:space="preserve">3. die Positionierung und technische Ausführung aller untertägigen Hohlräume, insbesondere der für die Einlagerung von Endlagergebinden bestimmten Bereiche, sowie aller Tageszugänge,</w:t>
      </w:r>
    </w:p>
    <w:p>
      <w:pPr>
        <w:ind w:left="420"/>
      </w:pPr>
      <w:r>
        <w:t xml:space="preserve">4. die Spezifikation der Einbauten und Geräte, die der Handhabung von Endlagergebinden dienen,</w:t>
      </w:r>
    </w:p>
    <w:p>
      <w:pPr>
        <w:ind w:left="420"/>
      </w:pPr>
      <w:r>
        <w:t xml:space="preserve">5. die sicherheitstechnischen Anforderungen an die Endlagergebinde sowie die Vorgaben für die Behandlung der darin enthaltenen Abfälle nach § 3 Absatz 1 Satz 2 der Atomrechtlichen Entsorgungsverordnung vom 29. November 2018 (BGBl. I S. 2034, 2172) in der jeweils geltenden Fassung,</w:t>
      </w:r>
    </w:p>
    <w:p>
      <w:pPr>
        <w:ind w:left="420"/>
      </w:pPr>
      <w:r>
        <w:t xml:space="preserve">6. das Einlagerungskonzept, insbesondere Anordnung sowie Handhabung und Kontrolle der Endlagergebinde,</w:t>
      </w:r>
    </w:p>
    <w:p>
      <w:pPr>
        <w:ind w:left="420"/>
      </w:pPr>
      <w:r>
        <w:t xml:space="preserve">7. die Maßnahmen zur Gewährleistung der Rückholbarkeit bereits eingelagerter Endlagergebinde und</w:t>
      </w:r>
    </w:p>
    <w:p>
      <w:pPr>
        <w:ind w:left="420"/>
      </w:pPr>
      <w:r>
        <w:t xml:space="preserve">8. die Stilllegungsmaßnahmen einschließlich der Verschlussmaßnahmen.</w:t>
      </w:r>
    </w:p>
    <w:p>
      <w:r>
        <w:t xml:space="preserve">(2) Es ist darzustellen, dass die Optimierung der Auslegung des Endlagers nach § 12 Absatz 2 abgeschlossen ist.</w:t>
      </w:r>
    </w:p>
    <w:p>
      <w:r>
        <w:t xml:space="preserve">(3) Bei der Auslegung der untertägigen Bereiche des Endlagers, insbesondere bei der Festlegung der Grenzen des einschlusswirksamen Gebirgsbereichs oder im Fall des § 4 Absatz 3 Nummer 2 des Einlagerungsbereichs, sind alle Ergebnisse der Erkundung des Endlagerstandortes, insbesondere die geologischen Befunde der untertägigen Erkundung, einschließlich ihrer Ungewissheiten und deren Relevanz für die Sicherheit und Robustheit des Endlagersystems, zu berücksichtigen.</w:t>
      </w:r>
    </w:p>
    <w:p>
      <w:r>
        <w:t xml:space="preserve">(4) Die Verletzung des Gebirges im Endlagerbereich, und im Fall des § 4 Absatz 3 Nummer 1 insbesondere des vorgesehenen einschlusswirksamen Gebirgsbereichs, mit Schächten, Auffahrungen oder Bohrungen ist auf das für die sichere Errichtung, den sicheren Betrieb und die sichere Stilllegung des Endlagers unvermeidliche Ausmaß zu beschränken.</w:t>
      </w:r>
    </w:p>
    <w:p>
      <w:r>
        <w:t xml:space="preserve">(5) Für alle vorgesehenen technischen Komponenten des Endlagers sind die Bedingungen für einen sicheren Betrieb zu dokumentieren, zu begründen und bei der Auslegung des Endlagers zu berücksichtigen.</w:t>
      </w:r>
    </w:p>
    <w:p>
      <w:r>
        <w:rPr>
          <w:color w:val="555555"/>
          <w:sz w:val="17"/>
        </w:rPr>
        <w:t xml:space="preserve">Zitiervorschlag: § 11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