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EndlSiAnfV — Sicherheitskonzept</w:t>
      </w:r>
    </w:p>
    <w:p>
      <w:r>
        <w:rPr>
          <w:color w:val="555555"/>
          <w:sz w:val="18"/>
        </w:rPr>
        <w:t xml:space="preserve">Endlagersicherheitsanforderungsverordnung</w:t>
      </w:r>
    </w:p>
    <w:p>
      <w:r>
        <w:rPr>
          <w:color w:val="555555"/>
          <w:sz w:val="18"/>
        </w:rPr>
        <w:t xml:space="preserve">Stand: 15.10.2020 (konsolidierte Textfassung, kein amtliches Inkrafttretensdatum)</w:t>
      </w:r>
    </w:p>
    <w:p>
      <w:r>
        <w:t xml:space="preserve">(1) In einem Sicherheitskonzept ist darzulegen, wie das Ziel der Konzentration und des sicheren Einschlusses der radioaktiven Abfälle nach § 4 Absatz 1 erreicht werden soll. Dabei ist das gesamte Endlagersystem während der Errichtung, des Betriebs und der Stilllegung sowie im Bewertungszeitraum zu berücksichtigen.</w:t>
      </w:r>
    </w:p>
    <w:p>
      <w:r>
        <w:t xml:space="preserve">(2) Basis für die Erstellung des Sicherheitskonzeptes sind die zu erwartenden Entwicklungen des Endlagersystems im Bewertungszeitraum. Die abweichenden Entwicklungen sind einzubeziehen.</w:t>
      </w:r>
    </w:p>
    <w:p>
      <w:r>
        <w:t xml:space="preserve">(3) Im Sicherheitskonzept sind die Ergebnisse der umfassenden vorläufigen Sicherheitsuntersuchung nach § 18 Absatz 1 Satz 2 des Standortauswahlgesetzes zu berücksichtigen. Insbesondere sind Änderungen gegenüber dem in der umfassenden vorläufigen Sicherheitsuntersuchung zu Grunde gelegten vorläufigen Sicherheitskonzept auszuweisen und zu begründen.</w:t>
      </w:r>
    </w:p>
    <w:p>
      <w:r>
        <w:t xml:space="preserve">(4) Es ist darzustellen, dass die Optimierung des Sicherheitskonzeptes nach § 12 Absatz 2 abgeschlossen ist.</w:t>
      </w:r>
    </w:p>
    <w:p>
      <w:r>
        <w:t xml:space="preserve">(5) Das Sicherheitskonzept muss eine Darstellung aller vorgesehenen Barrieren des Endlagersystems, insbesondere der wesentlichen Barrieren nach § 4 Absatz 3, ihrer jeweiligen Sicherheitsfunktionen und ihres Zusammenwirkens, enthalten. Die Darstellung muss auch ein Verschlusskonzept zur Abdichtung von Hohlräumen, die mit radioaktiven Abfällen beladen worden sind, umfassen. Es ist darzulegen, dass die Sicherheitsfunktionen des Endlagersystems und seiner Barrieren gegenüber inneren und äußeren Einflüssen und Störungen unempfindlich sind und dass das Verhalten der Barrieren gut prognostizierbar ist.</w:t>
      </w:r>
    </w:p>
    <w:p>
      <w:r>
        <w:t xml:space="preserve">(6) Das Sicherheitskonzept hat im Übrigen zu enthalten:</w:t>
      </w:r>
    </w:p>
    <w:p>
      <w:pPr>
        <w:ind w:left="420"/>
      </w:pPr>
      <w:r>
        <w:t xml:space="preserve">1. einen Ablaufplan für die Errichtung, den Betrieb und die Stilllegung des Endlagers, der darlegt, wie die Sicherheit des Endlagers nach § 17 sichergestellt werden kann und wie die radioaktiven Abfälle in einem sicheren Zustand gehalten werden können,</w:t>
      </w:r>
    </w:p>
    <w:p>
      <w:pPr>
        <w:ind w:left="420"/>
      </w:pPr>
      <w:r>
        <w:t xml:space="preserve">2. eine Darstellung der Maßnahmen, mit denen die Rückholbarkeit der eingelagerten radioaktiven Abfälle nach § 13 bis zum Beginn der Stilllegung gewährleistet wird, und</w:t>
      </w:r>
    </w:p>
    <w:p>
      <w:pPr>
        <w:ind w:left="420"/>
      </w:pPr>
      <w:r>
        <w:t xml:space="preserve">3. eine Darstellung der Vorkehrungen, die zur Ermöglichung einer Bergung der eingelagerten radioaktiven Abfälle nach § 14 getroffen werden.</w:t>
      </w:r>
    </w:p>
    <w:p>
      <w:r>
        <w:t xml:space="preserve">(7) Im Sicherheitskonzept zu berücksichtigen sind Maßnahmen, die bis zum Abschluss der Stilllegung erforderlich sind</w:t>
      </w:r>
    </w:p>
    <w:p>
      <w:pPr>
        <w:ind w:left="420"/>
      </w:pPr>
      <w:r>
        <w:t xml:space="preserve">1. zur Gewährleistung des erforderlichen Schutzes des Endlagers vor Störmaßnahmen und sonstigen Einwirkungen Dritter und</w:t>
      </w:r>
    </w:p>
    <w:p>
      <w:pPr>
        <w:ind w:left="420"/>
      </w:pPr>
      <w:r>
        <w:t xml:space="preserve">2. zur Überwachung von Kernmaterial.</w:t>
      </w:r>
    </w:p>
    <w:p>
      <w:r>
        <w:rPr>
          <w:color w:val="555555"/>
          <w:sz w:val="17"/>
        </w:rPr>
        <w:t xml:space="preserve">Zitiervorschlag: § 10 EndlSiAnfV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https://recht.nulegal.eu/gesetze/EndlSiAnfV/10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