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EndlSiAnfV — Anwendungsbereich</w:t>
      </w:r>
    </w:p>
    <w:p>
      <w:r>
        <w:rPr>
          <w:color w:val="555555"/>
          <w:sz w:val="18"/>
        </w:rPr>
        <w:t xml:space="preserve">Endlagersicherheitsanforderungsverordnung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Diese Verordnung gilt für Anlagen des Bundes zur Endlagerung radioaktiver Abfälle nach § 9a Absatz 3 Satz 1 des Atomgesetzes in der Fassung der Bekanntmachung vom 15. Juli 1985 (BGBl. I S. 1565), das zuletzt durch Artikel 239 der Verordnung vom 19. Juni 2020 (BGBl. I S. 1328) geändert worden ist, in der jeweils geltenden Fassung, die zur Endlagerung hochradioaktiver Abfälle bestimmt sind. Sie ist im Genehmigungsverfahren nach § 9b Absatz 1a des Atomgesetzes in Verbindung mit der Atomrechtlichen Verfahrensverordnung in der Fassung der Bekanntmachung vom 3. Februar 1995 (BGBl. I S. 180), die zuletzt durch Artikel 14 der Verordnung vom 29. November 2018 (BGBl. I S. 2034) geändert worden ist, in der jeweils geltenden Fassung zu Grunde zu legen. Der Dritte nach § 9a Absatz 3 Satz 2 zweiter Halbsatz des Atomgesetzes hat die Einhaltung der Regelungen dieser Verordnung zu gewährleisten.</w:t>
      </w:r>
    </w:p>
    <w:p>
      <w:r>
        <w:t xml:space="preserve">(2) Erfolgt am selben Standort eine zusätzliche Endlagerung schwach- und mittelradioaktiver Abfälle nach § 1 Absatz 6 des Standortauswahlgesetzes vom 5. Mai 2017 (BGBl. I S. 1074), das zuletzt durch Artikel 247 der Verordnung vom 19. Juni 2020 (BGBl. I S. 1328) geändert worden ist, in der jeweils geltenden Fassung, so sind für die Endlagerung dieser weiteren radioaktiven Abfälle die Bestimmungen des § 21 zu beachten.</w:t>
      </w:r>
    </w:p>
    <w:p>
      <w:r>
        <w:rPr>
          <w:color w:val="555555"/>
          <w:sz w:val="17"/>
        </w:rPr>
        <w:t xml:space="preserve">Zitiervorschlag: § 1 EndlSiAnfV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https://recht.nulegal.eu/gesetze/EndlSiAnfV/1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