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EnWPrV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und des § 30 Absatz 5 des Berufsbildungsgesetzes, von denen § 53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