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EnWGKostV</w:t>
      </w:r>
    </w:p>
    <w:p>
      <w:r>
        <w:rPr>
          <w:color w:val="555555"/>
          <w:sz w:val="18"/>
        </w:rPr>
        <w:t xml:space="preserve">Energiewirtschaftskostenverordnung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91 Abs. 8 in Verbindung mit Abs. 3 Satz 1 und 2 des Energiewirtschaftsgesetzes vom 7. Juli 2005 (BGBl. I S. 1970) in Verbindung mit dem 2. Abschnitt des Verwaltungskostengesetzes vom 23. Juni 1970 (BGBl. I S. 821) sowie mit § 1 Abs. 2 des Zuständigkeitsanpassungsgesetzes vom 16. August 2002 (BGBl. I S. 3165) und dem Organisationserlass vom 22. November 2005 (BGBl. I S. 3197) verordnet das Bundesministerium für Wirtschaft und Technologie im Einvernehmen mit dem Bundesministerium der Finanzen:</w:t>
      </w:r>
    </w:p>
    <w:p>
      <w:r>
        <w:rPr>
          <w:color w:val="555555"/>
          <w:sz w:val="17"/>
        </w:rPr>
        <w:t xml:space="preserve">Zitiervorschlag: Eingangsformel EnWGKostV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