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EnWGKostV — Inkrafttreten</w:t>
      </w:r>
    </w:p>
    <w:p>
      <w:r>
        <w:rPr>
          <w:color w:val="555555"/>
          <w:sz w:val="18"/>
        </w:rPr>
        <w:t xml:space="preserve">Energiewirtschaftskostenverordnung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EnWGKostV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https://recht.nulegal.eu/gesetze/EnWGKostV/4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