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EnWGKostV — Gebührenhöhe</w:t>
      </w:r>
    </w:p>
    <w:p>
      <w:r>
        <w:rPr>
          <w:color w:val="555555"/>
          <w:sz w:val="18"/>
        </w:rPr>
        <w:t xml:space="preserve">Energiewirtschaftskostenverordnung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Höhe einer zu erhebenden Gebühr richtet sich nach dem Gebührenverzeichnis in der Anlage.</w:t>
      </w:r>
    </w:p>
    <w:p>
      <w:r>
        <w:rPr>
          <w:color w:val="555555"/>
          <w:sz w:val="17"/>
        </w:rPr>
        <w:t xml:space="preserve">Zitiervorschlag: § 2 EnWGKostV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