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EnWGKostV — Anwendungsbereich</w:t>
      </w:r>
    </w:p>
    <w:p>
      <w:r>
        <w:rPr>
          <w:color w:val="555555"/>
          <w:sz w:val="18"/>
        </w:rPr>
        <w:t xml:space="preserve">Energiewirtschaftskostenverordnung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Bundesnetzagentur erhebt für kostenpflichtige Amtshandlungen nach dem Energiewirtschaftsgesetz Gebühren und Auslagen nach dieser Verordnung.</w:t>
      </w:r>
    </w:p>
    <w:p>
      <w:r>
        <w:rPr>
          <w:color w:val="555555"/>
          <w:sz w:val="17"/>
        </w:rPr>
        <w:t xml:space="preserve">Zitiervorschlag: § 1 EnWGKostV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https://recht.nulegal.eu/gesetze/EnWGKostV/1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