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EnWG§118aSubV — Inkrafttreten, Außerkrafttreten</w:t>
      </w:r>
    </w:p>
    <w:p>
      <w:r>
        <w:rPr>
          <w:color w:val="555555"/>
          <w:sz w:val="18"/>
        </w:rPr>
        <w:t xml:space="preserve">§ 118a EnWG-Subdelegationsverordnung</w:t>
      </w:r>
    </w:p>
    <w:p>
      <w:r>
        <w:rPr>
          <w:color w:val="555555"/>
          <w:sz w:val="18"/>
        </w:rPr>
        <w:t xml:space="preserve">Stand: 12.11.2022 (konsolidierte Textfassung, kein amtliches Inkrafttretensdatum)</w:t>
      </w:r>
    </w:p>
    <w:p>
      <w:r>
        <w:t xml:space="preserve">Diese Verordnung tritt am Tag nach der Verkündung in Kraft. Sie tritt mit Ablauf des 31. Dezember 2027 außer Kraft.</w:t>
      </w:r>
    </w:p>
    <w:p>
      <w:r>
        <w:rPr>
          <w:color w:val="555555"/>
          <w:sz w:val="17"/>
        </w:rPr>
        <w:t xml:space="preserve">Zitiervorschlag: § 2 EnWG§118aSubV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https://recht.nulegal.eu/gesetze/EnWG%C2%A7118aSubV/2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