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EnWG§118aSubV — Subdelegation</w:t>
      </w:r>
    </w:p>
    <w:p>
      <w:r>
        <w:rPr>
          <w:color w:val="555555"/>
          <w:sz w:val="18"/>
        </w:rPr>
        <w:t xml:space="preserve">§ 118a EnWG-Subdelegationsverordnung</w:t>
      </w:r>
    </w:p>
    <w:p>
      <w:r>
        <w:rPr>
          <w:color w:val="555555"/>
          <w:sz w:val="18"/>
        </w:rPr>
        <w:t xml:space="preserve">Stand: 12.11.2022 (konsolidierte Textfassung, kein amtliches Inkrafttretensdatum)</w:t>
      </w:r>
    </w:p>
    <w:p>
      <w:r>
        <w:t xml:space="preserve">Die Bundesnetzagentur für Elektrizität, Gas, Telekommunikation, Post und Eisenbahnen wird ermächtigt, Verordnungen nach Maßgabe des § 118a Satz 1 des Energiewirtschaftsgesetzes zu erlassen.</w:t>
      </w:r>
    </w:p>
    <w:p>
      <w:r>
        <w:rPr>
          <w:color w:val="555555"/>
          <w:sz w:val="17"/>
        </w:rPr>
        <w:t xml:space="preserve">Zitiervorschlag: § 1 EnWG§118aSubV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https://recht.nulegal.eu/gesetze/EnWG%C2%A7118aSubV/1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