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EnWG 2005 — Zuständigkeit des Oberlandesgerichts im gerichtlichen Verfahren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gerichtlichen Verfahren wegen einer Ordnungswidrigkeit nach § 95 entscheidet das Oberlandesgericht, in dessen Bezirk die zuständige Regulierungsbehörde ihren Sitz hat; es entscheidet auch über einen Antrag auf gerichtliche Entscheidung (§ 62 des Gesetzes über Ordnungswidrigkeiten) in den Fällen des § 52 Abs. 2 Satz 3 und des § 69 Abs. 1 Satz 2 des Gesetzes über Ordnungswidrigkeiten. § 140 Abs. 1 Nr. 1 der Strafprozessordnung in Verbindung mit § 46 Abs. 1 des Gesetzes über Ordnungswidrigkeiten findet keine Anwendung.</w:t>
      </w:r>
    </w:p>
    <w:p>
      <w:r>
        <w:t xml:space="preserve">(2) Das Oberlandesgericht entscheidet in der Besetzung von drei Mitgliedern mit Einschluss des vorsitzenden Mitglieds.</w:t>
      </w:r>
    </w:p>
    <w:p>
      <w:r>
        <w:rPr>
          <w:color w:val="555555"/>
          <w:sz w:val="17"/>
        </w:rPr>
        <w:t xml:space="preserve">Zitiervorschlag: § 98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