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96 EnWG 2005 — Zuständigkeit für Verfahren wegen der Festsetzung einer Geldbuße gegen eine juristische Person oder Personenvereinigung</w:t>
      </w:r>
    </w:p>
    <w:p>
      <w:r>
        <w:rPr>
          <w:color w:val="555555"/>
          <w:sz w:val="18"/>
        </w:rPr>
        <w:t xml:space="preserve">Energiewirtschaftsgesetz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Regulierungsbehörde ist für Verfahren wegen der Festsetzung einer Geldbuße gegen eine juristische Person oder Personenvereinigung (§ 30 des Gesetzes über Ordnungswidrigkeiten) in Fällen ausschließlich zuständig, denen</w:t>
      </w:r>
    </w:p>
    <w:p>
      <w:pPr>
        <w:ind w:left="420"/>
      </w:pPr>
      <w:r>
        <w:t xml:space="preserve">1. eine Straftat, die auch den Tatbestand des § 95 Abs. 1 Nr. 4 verwirklicht, oder</w:t>
      </w:r>
    </w:p>
    <w:p>
      <w:pPr>
        <w:ind w:left="420"/>
      </w:pPr>
      <w:r>
        <w:t xml:space="preserve">2. eine vorsätzliche oder fahrlässige Ordnungswidrigkeit nach § 130 des Gesetzes über Ordnungswidrigkeiten, bei der eine mit Strafe bedrohte Pflichtverletzung auch den Tatbestand des § 95 Abs. 1 Nr. 4 verwirklicht,</w:t>
      </w:r>
    </w:p>
    <w:p>
      <w:r>
        <w:t xml:space="preserve">zugrunde liegt. Dies gilt nicht, wenn die Behörde das § 30 des Gesetzes über Ordnungswidrigkeiten betreffende Verfahren an die Staatsanwaltschaft abgibt.</w:t>
      </w:r>
    </w:p>
    <w:p>
      <w:r>
        <w:rPr>
          <w:color w:val="555555"/>
          <w:sz w:val="17"/>
        </w:rPr>
        <w:t xml:space="preserve">Zitiervorschlag: § 96 EnWG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https://recht.nulegal.eu/gesetze/EnWG%202005/96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