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95b EnWG 2005 — Strafvorschriften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24.12.2025 (konsolidierte Textfassung, kein amtliches Inkrafttretensdatum)</w:t>
      </w:r>
    </w:p>
    <w:p>
      <w:r>
        <w:t xml:space="preserve">Mit Freiheitsstrafe bis zu einem Jahr oder mit Geldstrafe wird bestraft, wer</w:t>
      </w:r>
    </w:p>
    <w:p>
      <w:pPr>
        <w:ind w:left="420"/>
      </w:pPr>
      <w:r>
        <w:t xml:space="preserve">1. entgegen § 12 Absatz 5 Satz 1 Nummer 1 nicht sicherstellt, dass ein Betriebs- und Geschäftsgeheimnis ausschließlich in der dort genannten Weise genutzt wird, oder</w:t>
      </w:r>
    </w:p>
    <w:p>
      <w:pPr>
        <w:ind w:left="420"/>
      </w:pPr>
      <w:r>
        <w:t xml:space="preserve">2. eine in § 95 Absatz 1c Nummer 2 oder Nummer 6 bezeichnete vorsätzliche Handlung beharrlich wiederholt.</w:t>
      </w:r>
    </w:p>
    <w:p>
      <w:r>
        <w:rPr>
          <w:color w:val="555555"/>
          <w:sz w:val="17"/>
        </w:rPr>
        <w:t xml:space="preserve">Zitiervorschlag: § 95b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https://recht.nulegal.eu/gesetze/EnWG%202005/95b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