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EnWG 2005 — Zwangsgeld</w:t>
      </w:r>
    </w:p>
    <w:p>
      <w:r>
        <w:rPr>
          <w:color w:val="555555"/>
          <w:sz w:val="18"/>
        </w:rPr>
        <w:t xml:space="preserve">Energiewirtschaftsgesetz</w:t>
      </w:r>
    </w:p>
    <w:p>
      <w:r>
        <w:rPr>
          <w:color w:val="555555"/>
          <w:sz w:val="18"/>
        </w:rPr>
        <w:t xml:space="preserve">Stand: 17.05.2024 (konsolidierte Textfassung, kein amtliches Inkrafttretensdatum)</w:t>
      </w:r>
    </w:p>
    <w:p>
      <w:r>
        <w:t xml:space="preserve">Die Regulierungsbehörde kann ihre Anordnungen und auf Grundlage der in § 56 Absatz 1 genannten Rechtsakte getroffenen Entscheidungen der Agentur der Europäischen Union für die Zusammenarbeit der Energieregulierungsbehörden nach den für die Vollstreckung von Verwaltungsmaßnahmen geltenden Vorschriften durchsetzen. Sie kann auch Zwangsmittel gegen juristische Personen des öffentlichen Rechts anwenden. Die Höhe des Zwangsgeldes beträgt mindestens 1 000 Euro und höchstens zehn Millionen Euro. Im Falle der Vollstreckung von Verwaltungsmaßnahmen aufgrund einer Rechtsverordnung nach § 111f beträgt die Mindesthöhe des Zwangsgeldes 250 Euro.</w:t>
      </w:r>
    </w:p>
    <w:p>
      <w:r>
        <w:rPr>
          <w:color w:val="555555"/>
          <w:sz w:val="17"/>
        </w:rPr>
        <w:t xml:space="preserve">Zitiervorschlag: § 94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