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EnWG 2005 — Kostentragung und -festsetzung</w:t>
      </w:r>
    </w:p>
    <w:p>
      <w:r>
        <w:rPr>
          <w:color w:val="555555"/>
          <w:sz w:val="18"/>
        </w:rPr>
        <w:t xml:space="preserve">Energiewirtschaftsgesetz</w:t>
      </w:r>
    </w:p>
    <w:p>
      <w:r>
        <w:rPr>
          <w:color w:val="555555"/>
          <w:sz w:val="18"/>
        </w:rPr>
        <w:t xml:space="preserve">Stand: 30.07.2021 (konsolidierte Textfassung, kein amtliches Inkrafttretensdatum)</w:t>
      </w:r>
    </w:p>
    <w:p>
      <w:r>
        <w:t xml:space="preserve">Im Beschwerdeverfahren und im Rechtsbeschwerdeverfahren kann das Gericht anordnen, dass die Kosten, die zur zweckentsprechenden Erledigung der Angelegenheit notwendig waren, von einem Beteiligten ganz oder teilweise zu erstatten sind, wenn dies der Billigkeit entspricht. Hat ein Beteiligter Kosten durch ein unbegründetes Rechtsmittel oder durch grobes Verschulden veranlasst, so sind ihm die Kosten aufzuerlegen. Juristische Personen des öffentlichen Rechts und Behörden können an Stelle ihrer tatsächlichen notwendigen Aufwendungen für Post- und Telekommunikationsdienstleistungen den in Nummer 7002 der Anlage 1 des Rechtsanwaltsvergütungsgesetzes vom 5. Mai 2004 (BGBl. I S. 718, 788), das zuletzt durch Artikel 24 Absatz 8 des Gesetzes vom 25. Juni 2021 (BGBl. I S. 2154) geändert worden ist, bestimmten Höchstsatz der Pauschale fordern. Im Übrigen gelten die Vorschriften der Zivilprozessordnung über das Kostenfestsetzungsverfahren und die Zwangsvollstreckung aus Kostenfestsetzungsbeschlüssen entsprechend.</w:t>
      </w:r>
    </w:p>
    <w:p>
      <w:r>
        <w:rPr>
          <w:color w:val="555555"/>
          <w:sz w:val="17"/>
        </w:rPr>
        <w:t xml:space="preserve">Zitiervorschlag: § 90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