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7c EnWG 2005 — Ausnahme für Ladepunkte für Elektromobile;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Elektrizitätsverteilernetzen dürfen weder Eigentümer von Ladepunkten für Elektromobile sein noch diese Ladepunkte entwickeln, verwalten oder betreiben. Satz 1 ist nicht für private Ladepunkte für Elektromobile anzuwenden, die für den Eigengebrauch des Betreibers von Elektrizitätsverteilernetzen bestimmt sind.</w:t>
      </w:r>
    </w:p>
    <w:p>
      <w:r>
        <w:t xml:space="preserve">(2) Abweichend von Absatz 1 Satz 1 sind Betreiber von Elektrizitätsverteilernetzen befugt, in ihrem Netzgebiet das Eigentum an Ladepunkten für Elektromobile zu halten oder diese Ladepunkte zu entwickeln, zu verwalten oder zu betreiben, sofern in Fällen regionalen Marktversagens, das nach Durchführung eines offenen, transparenten und diskriminierungsfreien Ausschreibungsverfahrens durch eine kommunale Gebietskörperschaft festgestellt worden ist, die Bundesnetzagentur nach Maßgabe der Bedingungen einer aufgrund des Absatzes 3 erlassenen Rechtsverordnung ihre Genehmigung dazu erteilt hat. Im Falle einer Genehmigung hat die Bundesnetzagentur den Betreiber des Elektrizitätsverteilernetzes zu verpflichten, Dritten den Zugang zu den Ladepunkten zu angemessenen und diskriminierungsfreien Bedingungen zu gewähren. Die Voraussetzungen für den Fortbestand einer Genehmigung sind mindestens alle fünf Jahre durch die Regulierungsbehörde zu überprüfen.</w:t>
      </w:r>
    </w:p>
    <w:p>
      <w:r>
        <w:t xml:space="preserve">(3) Das Bundesministerium für Wirtschaft und Energie wird ermächtigt, im Einvernehmen mit dem Bundesministerium für Verkehr durch Rechtsverordnung mit Zustimmung des Bundesrates die Voraussetzungen einer Genehmigung nach Absatz 2 festzulegen und das Ausschreibungsverfahren näher zu bestimmen. Insbesondere können durch Rechtsverordnung Regelungen getroffen werden,</w:t>
      </w:r>
    </w:p>
    <w:p>
      <w:pPr>
        <w:ind w:left="420"/>
      </w:pPr>
      <w:r>
        <w:t xml:space="preserve">1. zu der Bestimmung eines Bedarfs und eines regionalen Marktversagens im Hinblick auf den Ladeinfrastrukturaufbau, insbesondere hinsichtlich der Abgrenzung des betroffenen Gebiets und der bereits bestehenden Ladepunkte, einschließlich der Festlegung von Ausschreibungsbedingungen und -verfahren,</w:t>
      </w:r>
    </w:p>
    <w:p>
      <w:pPr>
        <w:ind w:left="420"/>
      </w:pPr>
      <w:r>
        <w:t xml:space="preserve">2. zu den Anforderungen an ein Ausschreibungsverfahren nach Absatz 2 Satz 1 sowie den Voraussetzungen und dem Verfahren für Genehmigungen der Regulierungsbehörde sowie</w:t>
      </w:r>
    </w:p>
    <w:p>
      <w:pPr>
        <w:ind w:left="420"/>
      </w:pPr>
      <w:r>
        <w:t xml:space="preserve">3. zu der regelmäßigen Überprüfung und Bewertung nach Erteilung einer Genehmigung, ob Dritte in der Lage sind, Eigentümer von Ladepunkten zu sein oder diese zu entwickeln, zu betreiben oder zu verwalten, sowie zu möglichen Folgemaßnahmen einschließlich einer mindestens schrittweisen Einstellung der von Absatz 1 erfassten Tätigkeiten des Betreibers von Elektrizitätsverteilernetzen.</w:t>
      </w:r>
    </w:p>
    <w:p>
      <w:r>
        <w:rPr>
          <w:color w:val="555555"/>
          <w:sz w:val="17"/>
        </w:rPr>
        <w:t xml:space="preserve">Zitiervorschlag: § 7c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