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EnWG 2005 — Frist und Form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(1) Die Beschwerde ist binnen einer Frist von einem Monat bei dem Beschwerdegericht schriftlich einzureichen. Die Frist beginnt mit der Zustellung der Entscheidung der Regulierungsbehörde.</w:t>
      </w:r>
    </w:p>
    <w:p>
      <w:r>
        <w:t xml:space="preserve">(2) Ergeht auf einen Antrag keine Entscheidung, so ist die Beschwerde an keine Frist gebunden.</w:t>
      </w:r>
    </w:p>
    <w:p>
      <w:r>
        <w:t xml:space="preserve">(3) Die Beschwerde ist zu begründen. Die Frist für die Beschwerdebegründung beträgt einen Monat; sie beginnt mit der Einlegung der Beschwerde und kann auf Antrag von dem oder der Vorsitzenden des Beschwerdegerichts verlängert werden.</w:t>
      </w:r>
    </w:p>
    <w:p>
      <w:r>
        <w:t xml:space="preserve">(4) Die Beschwerdebegründung muss enthalten</w:t>
      </w:r>
    </w:p>
    <w:p>
      <w:pPr>
        <w:ind w:left="420"/>
      </w:pPr>
      <w:r>
        <w:t xml:space="preserve">1. die Erklärung, inwieweit die Entscheidung angefochten und ihre Abänderung oder Aufhebung beantragt wird,</w:t>
      </w:r>
    </w:p>
    <w:p>
      <w:pPr>
        <w:ind w:left="420"/>
      </w:pPr>
      <w:r>
        <w:t xml:space="preserve">2. die Angabe der Tatsachen und Beweismittel, auf die sich die Beschwerde stützt.</w:t>
      </w:r>
    </w:p>
    <w:p>
      <w:r>
        <w:t xml:space="preserve">§ 87b Absatz 3 der Verwaltungsgerichtsordnung ist entsprechend anzuwenden.</w:t>
      </w:r>
    </w:p>
    <w:p>
      <w:r>
        <w:t xml:space="preserve">(5) Die Beschwerdeschrift und die Beschwerdebegründung müssen durch einen Rechtsanwalt unterzeichnet sein; dies gilt nicht für Beschwerden der Regulierungsbehörde.</w:t>
      </w:r>
    </w:p>
    <w:p>
      <w:r>
        <w:rPr>
          <w:color w:val="555555"/>
          <w:sz w:val="17"/>
        </w:rPr>
        <w:t xml:space="preserve">Zitiervorschlag: § 78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