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EnWG 2005 — Beschlagnahme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Regulierungsbehörde kann Gegenstände, die als Beweismittel für die Ermittlung von Bedeutung sein können, beschlagnahmen. Die Beschlagnahme ist dem davon Betroffenen unverzüglich bekannt zu geben.</w:t>
      </w:r>
    </w:p>
    <w:p>
      <w:r>
        <w:t xml:space="preserve">(2) Die Regulierungsbehörde hat binnen drei Tagen um die richterliche Bestätigung des Amtsgerichts, in dessen Bezirk die Beschlagnahme vorgenommen ist, nachzusuchen, wenn bei der Beschlagnahme weder der davon Betroffene noch ein erwachsener Angehöriger anwesend war oder wenn der Betroffene und im Falle seiner Abwesenheit ein erwachsener Angehöriger des Betroffenen gegen die Beschlagnahme ausdrücklich Widerspruch erhoben hat.</w:t>
      </w:r>
    </w:p>
    <w:p>
      <w:r>
        <w:t xml:space="preserve">(3) Der Betroffene kann gegen die Beschlagnahme jederzeit um die richterliche Entscheidung nachsuchen. Hierüber ist er zu belehren. Über den Antrag entscheidet das nach Absatz 2 zuständige Gericht.</w:t>
      </w:r>
    </w:p>
    <w:p>
      <w:r>
        <w:t xml:space="preserve">(4) Gegen die richterliche Entscheidung ist die Beschwerde zulässig. Die §§ 306 bis 310 und 311a der Strafprozessordnung gelten entsprechend.</w:t>
      </w:r>
    </w:p>
    <w:p>
      <w:r>
        <w:rPr>
          <w:color w:val="555555"/>
          <w:sz w:val="17"/>
        </w:rPr>
        <w:t xml:space="preserve">Zitiervorschlag: § 70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