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6d EnWG 2005 — Betrieb eines Kombinationsnetzbetreibers</w:t>
      </w:r>
    </w:p>
    <w:p>
      <w:r>
        <w:rPr>
          <w:color w:val="555555"/>
          <w:sz w:val="18"/>
        </w:rPr>
        <w:t xml:space="preserve">Energiewirtschaftsgesetz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gemeinsame Betrieb eines Transport- sowie eines Verteilernetzes durch denselben Netzbetreiber ist zulässig, soweit dieser Netzbetreiber die Bestimmungen der §§ 8 oder 9 oder §§ 10 bis 10e einhält.</w:t>
      </w:r>
    </w:p>
    <w:p>
      <w:r>
        <w:rPr>
          <w:color w:val="555555"/>
          <w:sz w:val="17"/>
        </w:rPr>
        <w:t xml:space="preserve">Zitiervorschlag: § 6d EnWG 2005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https://recht.nulegal.eu/gesetze/EnWG%202005/6d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