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6a EnWG 2005 — Verwendung von Informationen</w:t>
      </w:r>
    </w:p>
    <w:p>
      <w:r>
        <w:rPr>
          <w:color w:val="555555"/>
          <w:sz w:val="18"/>
        </w:rPr>
        <w:t xml:space="preserve">Energiewirtschaftsgesetz</w:t>
      </w:r>
    </w:p>
    <w:p>
      <w:r>
        <w:rPr>
          <w:color w:val="555555"/>
          <w:sz w:val="18"/>
        </w:rPr>
        <w:t xml:space="preserve">Stand: 30.07.2022 (konsolidierte Textfassung, kein amtliches Inkrafttretensdatum)</w:t>
      </w:r>
    </w:p>
    <w:p>
      <w:r>
        <w:t xml:space="preserve">(1) Unbeschadet gesetzlicher Verpflichtungen zur Offenbarung von Informationen haben vertikal integrierte Unternehmen, Transportnetzeigentümer, Netzbetreiber, Gasspeicheranlagenbetreiber sowie Betreiber von LNG-Anlagen sicherzustellen, dass die Vertraulichkeit wirtschaftlich sensibler Informationen, von denen sie in Ausübung ihrer Geschäftstätigkeit als Transportnetzeigentümer, Netzbetreiber, Gasspeicheranlagenbetreiber sowie Betreiber von LNG-Anlagen Kenntnis erlangen, gewahrt wird.</w:t>
      </w:r>
    </w:p>
    <w:p>
      <w:r>
        <w:t xml:space="preserve">(2) Legen das vertikal integrierte Unternehmen, Transportnetzeigentümer, Netzbetreiber, ein Gasspeicheranlagenbetreiber oder ein Betreiber von LNG-Anlagen über die eigenen Tätigkeiten Informationen offen, die wirtschaftliche Vorteile bringen können, so stellen sie sicher, dass dies in nicht diskriminierender Weise erfolgt. Sie stellen insbesondere sicher, dass wirtschaftlich sensible Informationen gegenüber anderen Teilen des Unternehmens vertraulich behandelt werden.</w:t>
      </w:r>
    </w:p>
    <w:p>
      <w:r>
        <w:rPr>
          <w:color w:val="555555"/>
          <w:sz w:val="17"/>
        </w:rPr>
        <w:t xml:space="preserve">Zitiervorschlag: § 6a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