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64a EnWG 2005 — Zusammenarbeit zwischen den Regulierungsbehörden</w:t>
      </w:r>
    </w:p>
    <w:p>
      <w:r>
        <w:rPr>
          <w:color w:val="555555"/>
          <w:sz w:val="18"/>
        </w:rPr>
        <w:t xml:space="preserve">Energiewirtschaftsgesetz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Bundesnetzagentur und die Landesregulierungsbehörden unterstützen sich gegenseitig bei der Wahrnehmung der ihnen nach § 54 obliegenden Aufgaben. Dies gilt insbesondere für den Austausch der für die Wahrnehmung der Aufgaben nach Satz 1 notwendigen Informationen.</w:t>
      </w:r>
    </w:p>
    <w:p>
      <w:r>
        <w:t xml:space="preserve">(2) Die Landesregulierungsbehörden unterstützen die Bundesnetzagentur bei der Wahrnehmung der dieser nach den §§ 35, 60, 63 und 64 obliegenden Aufgaben; soweit hierbei Aufgaben der Landesregulierungsbehörden berührt sind, gibt die Bundesnetzagentur den Landesregulierungsbehörden auf geeignete Weise Gelegenheit zur Mitwirkung. Dies kann auch über den Länderausschuss nach § 60a erfolgen.</w:t>
      </w:r>
    </w:p>
    <w:p>
      <w:r>
        <w:rPr>
          <w:color w:val="555555"/>
          <w:sz w:val="17"/>
        </w:rPr>
        <w:t xml:space="preserve">Zitiervorschlag: § 64a EnWG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https://recht.nulegal.eu/gesetze/EnWG%202005/64a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