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EnWG 2005 — Wissenschaftliche Beratung</w:t>
      </w:r>
    </w:p>
    <w:p>
      <w:r>
        <w:rPr>
          <w:color w:val="555555"/>
          <w:sz w:val="18"/>
        </w:rPr>
        <w:t xml:space="preserve">Energiewirtschaftsgesetz</w:t>
      </w:r>
    </w:p>
    <w:p>
      <w:r>
        <w:rPr>
          <w:color w:val="555555"/>
          <w:sz w:val="18"/>
        </w:rPr>
        <w:t xml:space="preserve">Stand: 10.06.2019 (konsolidierte Textfassung, kein amtliches Inkrafttretensdatum)</w:t>
      </w:r>
    </w:p>
    <w:p>
      <w:r>
        <w:t xml:space="preserve">(1) Die Bundesnetzagentur kann zur Vorbereitung ihrer Entscheidungen oder zur Begutachtung von Fragen der Regulierung wissenschaftliche Kommissionen einsetzen. Ihre Mitglieder müssen auf dem Gebiet der leitungsgebundenen Energieversorgung über besondere volkswirtschaftliche, betriebswirtschaftliche, verbraucherpolitische, technische oder rechtliche Erfahrungen und über ausgewiesene wissenschaftliche Kenntnisse verfügen.</w:t>
      </w:r>
    </w:p>
    <w:p>
      <w:r>
        <w:t xml:space="preserve">(2) Die Bundesnetzagentur darf sich bei der Erfüllung ihrer Aufgaben fortlaufend wissenschaftlicher Unterstützung bedienen. Diese betrifft insbesondere</w:t>
      </w:r>
    </w:p>
    <w:p>
      <w:pPr>
        <w:ind w:left="420"/>
      </w:pPr>
      <w:r>
        <w:t xml:space="preserve">1. die regelmäßige Begutachtung der volkswirtschaftlichen, betriebswirtschaftlichen, technischen und rechtlichen Entwicklung auf dem Gebiet der leitungsgebundenen Energieversorgung,</w:t>
      </w:r>
    </w:p>
    <w:p>
      <w:pPr>
        <w:ind w:left="420"/>
      </w:pPr>
      <w:r>
        <w:t xml:space="preserve">2. die Aufbereitung und Weiterentwicklung der Grundlagen für die Gestaltung der Regulierung des Netzbetriebs, die Regeln über den Netzanschluss und -zugang sowie den Kunden- und Verbraucherschutz.</w:t>
      </w:r>
    </w:p>
    <w:p>
      <w:r>
        <w:rPr>
          <w:color w:val="555555"/>
          <w:sz w:val="17"/>
        </w:rPr>
        <w:t xml:space="preserve">Zitiervorschlag: § 64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